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7BC63526" w:rsidR="00411E0B" w:rsidRPr="009142DC" w:rsidRDefault="00CD614C"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11. Working with SEN</w:t>
      </w:r>
      <w:r w:rsidR="009E6160">
        <w:rPr>
          <w:rFonts w:ascii="Century Gothic" w:hAnsi="Century Gothic" w:cs="Arial"/>
          <w:b/>
          <w:bCs/>
          <w:color w:val="FFFFFF" w:themeColor="background1"/>
          <w:sz w:val="36"/>
          <w:szCs w:val="36"/>
        </w:rPr>
        <w:t>D</w:t>
      </w:r>
      <w:r>
        <w:rPr>
          <w:rFonts w:ascii="Century Gothic" w:hAnsi="Century Gothic" w:cs="Arial"/>
          <w:b/>
          <w:bCs/>
          <w:color w:val="FFFFFF" w:themeColor="background1"/>
          <w:sz w:val="36"/>
          <w:szCs w:val="36"/>
        </w:rPr>
        <w:t xml:space="preserve"> Students</w:t>
      </w:r>
    </w:p>
    <w:p w14:paraId="25A5872C" w14:textId="25206827" w:rsidR="007F75CF" w:rsidRPr="003402F5" w:rsidRDefault="003402F5" w:rsidP="00AB7BA7">
      <w:pPr>
        <w:jc w:val="center"/>
        <w:rPr>
          <w:rFonts w:ascii="Century Gothic" w:hAnsi="Century Gothic" w:cs="Arial"/>
          <w:b/>
          <w:bCs/>
          <w:color w:val="7030A0"/>
        </w:rPr>
      </w:pPr>
      <w:r w:rsidRPr="009A10A2">
        <w:rPr>
          <w:rFonts w:ascii="Century Gothic" w:hAnsi="Century Gothic"/>
          <w:b/>
          <w:bCs/>
          <w:noProof/>
          <w:color w:val="7030A0"/>
        </w:rPr>
        <w:t xml:space="preserve">This Best Practice Guide provides a detailed framework to effectively plan, deliver, and review </w:t>
      </w:r>
      <w:r w:rsidR="00D426A1">
        <w:rPr>
          <w:rFonts w:ascii="Century Gothic" w:hAnsi="Century Gothic"/>
          <w:b/>
          <w:bCs/>
          <w:noProof/>
          <w:color w:val="7030A0"/>
        </w:rPr>
        <w:t>a range of sessions</w:t>
      </w:r>
      <w:r w:rsidRPr="009A10A2">
        <w:rPr>
          <w:rFonts w:ascii="Century Gothic" w:hAnsi="Century Gothic"/>
          <w:b/>
          <w:bCs/>
          <w:noProof/>
          <w:color w:val="7030A0"/>
        </w:rPr>
        <w:t xml:space="preserve"> that involve students with Special Educational Needs and Disabilities (SEND).</w:t>
      </w:r>
    </w:p>
    <w:tbl>
      <w:tblPr>
        <w:tblStyle w:val="TableGrid"/>
        <w:tblW w:w="0" w:type="auto"/>
        <w:tblLook w:val="04A0" w:firstRow="1" w:lastRow="0" w:firstColumn="1" w:lastColumn="0" w:noHBand="0" w:noVBand="1"/>
      </w:tblPr>
      <w:tblGrid>
        <w:gridCol w:w="9016"/>
      </w:tblGrid>
      <w:tr w:rsidR="00B81FE7" w14:paraId="594F6331" w14:textId="77777777" w:rsidTr="36F20DCB">
        <w:tc>
          <w:tcPr>
            <w:tcW w:w="9016" w:type="dxa"/>
            <w:shd w:val="clear" w:color="auto" w:fill="67C3CE"/>
          </w:tcPr>
          <w:p w14:paraId="664AA957" w14:textId="0E4327A0" w:rsidR="00B81FE7" w:rsidRPr="00211005" w:rsidRDefault="001E4E7D" w:rsidP="00B81FE7">
            <w:pPr>
              <w:jc w:val="center"/>
              <w:rPr>
                <w:rFonts w:ascii="Century Gothic" w:hAnsi="Century Gothic" w:cs="Arial"/>
                <w:b/>
                <w:bCs/>
                <w:color w:val="FFFFFF" w:themeColor="background1"/>
              </w:rPr>
            </w:pPr>
            <w:r>
              <w:rPr>
                <w:rFonts w:ascii="Century Gothic" w:hAnsi="Century Gothic" w:cs="Arial"/>
                <w:b/>
                <w:bCs/>
                <w:color w:val="FFFFFF" w:themeColor="background1"/>
              </w:rPr>
              <w:t>PLAN</w:t>
            </w:r>
          </w:p>
        </w:tc>
      </w:tr>
      <w:tr w:rsidR="00B81FE7" w14:paraId="329D06C6" w14:textId="77777777" w:rsidTr="009F2AE9">
        <w:trPr>
          <w:trHeight w:val="983"/>
        </w:trPr>
        <w:tc>
          <w:tcPr>
            <w:tcW w:w="9016" w:type="dxa"/>
          </w:tcPr>
          <w:p w14:paraId="2559EBFB" w14:textId="77777777" w:rsidR="0071101B" w:rsidRDefault="0071101B" w:rsidP="003402F5">
            <w:pPr>
              <w:jc w:val="both"/>
              <w:rPr>
                <w:b/>
                <w:bCs/>
                <w:noProof/>
              </w:rPr>
            </w:pPr>
          </w:p>
          <w:p w14:paraId="7175DFC2" w14:textId="5666F60C" w:rsidR="009A10A2" w:rsidRDefault="009A10A2" w:rsidP="00422BBD">
            <w:pPr>
              <w:shd w:val="clear" w:color="auto" w:fill="E7E6E6" w:themeFill="background2"/>
              <w:jc w:val="both"/>
              <w:rPr>
                <w:noProof/>
              </w:rPr>
            </w:pPr>
            <w:r w:rsidRPr="009A10A2">
              <w:rPr>
                <w:b/>
                <w:bCs/>
                <w:noProof/>
              </w:rPr>
              <w:t>Understand the Needs</w:t>
            </w:r>
            <w:r w:rsidRPr="009A10A2">
              <w:rPr>
                <w:noProof/>
              </w:rPr>
              <w:t>:</w:t>
            </w:r>
          </w:p>
          <w:p w14:paraId="1B8316CC" w14:textId="77777777" w:rsidR="00F362D5" w:rsidRPr="009A10A2" w:rsidRDefault="00F362D5" w:rsidP="003402F5">
            <w:pPr>
              <w:jc w:val="both"/>
              <w:rPr>
                <w:noProof/>
              </w:rPr>
            </w:pPr>
          </w:p>
          <w:p w14:paraId="5216183A" w14:textId="217DBAA5" w:rsidR="009A10A2" w:rsidRPr="009A10A2" w:rsidRDefault="009A10A2" w:rsidP="00AC326B">
            <w:pPr>
              <w:numPr>
                <w:ilvl w:val="0"/>
                <w:numId w:val="27"/>
              </w:numPr>
              <w:jc w:val="both"/>
              <w:rPr>
                <w:noProof/>
              </w:rPr>
            </w:pPr>
            <w:r w:rsidRPr="009A10A2">
              <w:rPr>
                <w:b/>
                <w:bCs/>
                <w:noProof/>
              </w:rPr>
              <w:t>Gather Information</w:t>
            </w:r>
            <w:r w:rsidRPr="009A10A2">
              <w:rPr>
                <w:noProof/>
              </w:rPr>
              <w:t xml:space="preserve">: Before planning </w:t>
            </w:r>
            <w:r w:rsidR="003D35BB">
              <w:rPr>
                <w:noProof/>
              </w:rPr>
              <w:t>any type of</w:t>
            </w:r>
            <w:r w:rsidRPr="009A10A2">
              <w:rPr>
                <w:noProof/>
              </w:rPr>
              <w:t xml:space="preserve"> session, obtain detailed information on the specific needs of the students who will be participating. This might include Individual Education Plans (IEPs), reports from SENCOs, or consultations with support staff. Understand each student's strengths, challenges, and triggers to tailor your approach effectively.</w:t>
            </w:r>
            <w:r w:rsidR="00D60C8E">
              <w:rPr>
                <w:noProof/>
              </w:rPr>
              <w:t xml:space="preserve"> Planning is the key. </w:t>
            </w:r>
          </w:p>
          <w:p w14:paraId="34AC4190" w14:textId="77777777" w:rsidR="009A10A2" w:rsidRPr="009A10A2" w:rsidRDefault="009A10A2" w:rsidP="00AC326B">
            <w:pPr>
              <w:numPr>
                <w:ilvl w:val="0"/>
                <w:numId w:val="27"/>
              </w:numPr>
              <w:jc w:val="both"/>
              <w:rPr>
                <w:noProof/>
              </w:rPr>
            </w:pPr>
            <w:r w:rsidRPr="009A10A2">
              <w:rPr>
                <w:b/>
                <w:bCs/>
                <w:noProof/>
              </w:rPr>
              <w:t>Communicate Early</w:t>
            </w:r>
            <w:r w:rsidRPr="009A10A2">
              <w:rPr>
                <w:noProof/>
              </w:rPr>
              <w:t>: Engage with SENCOs or relevant staff early in the planning process to identify any students with SEND. Discuss their specific requirements and how these might impact your session. This could include understanding students' sensory sensitivities, preferred learning styles, or mobility issues.</w:t>
            </w:r>
          </w:p>
          <w:p w14:paraId="4F5BF8A5" w14:textId="77777777" w:rsidR="009A10A2" w:rsidRPr="009A10A2" w:rsidRDefault="009A10A2" w:rsidP="00AC326B">
            <w:pPr>
              <w:numPr>
                <w:ilvl w:val="0"/>
                <w:numId w:val="27"/>
              </w:numPr>
              <w:jc w:val="both"/>
              <w:rPr>
                <w:noProof/>
              </w:rPr>
            </w:pPr>
            <w:r w:rsidRPr="009A10A2">
              <w:rPr>
                <w:b/>
                <w:bCs/>
                <w:noProof/>
              </w:rPr>
              <w:t>Plan for Diversity</w:t>
            </w:r>
            <w:r w:rsidRPr="009A10A2">
              <w:rPr>
                <w:noProof/>
              </w:rPr>
              <w:t>: Consider the full range of SEND, including physical disabilities, learning difficulties, sensory impairments, and neurodiverse conditions like autism or ADHD. Ensure your plan accommodates these diverse needs.</w:t>
            </w:r>
          </w:p>
          <w:p w14:paraId="22D553B3" w14:textId="77777777" w:rsidR="003402F5" w:rsidRDefault="003402F5" w:rsidP="003402F5">
            <w:pPr>
              <w:jc w:val="both"/>
              <w:rPr>
                <w:b/>
                <w:bCs/>
                <w:noProof/>
              </w:rPr>
            </w:pPr>
          </w:p>
          <w:p w14:paraId="165EA8C9" w14:textId="0085A9F2" w:rsidR="009A10A2" w:rsidRDefault="009A10A2" w:rsidP="00F73BE7">
            <w:pPr>
              <w:shd w:val="clear" w:color="auto" w:fill="E7E6E6" w:themeFill="background2"/>
              <w:jc w:val="both"/>
              <w:rPr>
                <w:noProof/>
              </w:rPr>
            </w:pPr>
            <w:r w:rsidRPr="009A10A2">
              <w:rPr>
                <w:b/>
                <w:bCs/>
                <w:noProof/>
              </w:rPr>
              <w:t>Adapt Resources</w:t>
            </w:r>
            <w:r w:rsidRPr="009A10A2">
              <w:rPr>
                <w:noProof/>
              </w:rPr>
              <w:t>:</w:t>
            </w:r>
          </w:p>
          <w:p w14:paraId="3237F82C" w14:textId="77777777" w:rsidR="00F362D5" w:rsidRPr="009A10A2" w:rsidRDefault="00F362D5" w:rsidP="003402F5">
            <w:pPr>
              <w:jc w:val="both"/>
              <w:rPr>
                <w:noProof/>
              </w:rPr>
            </w:pPr>
          </w:p>
          <w:p w14:paraId="487DEE80" w14:textId="77777777" w:rsidR="009A10A2" w:rsidRPr="009A10A2" w:rsidRDefault="009A10A2" w:rsidP="00D60C8E">
            <w:pPr>
              <w:numPr>
                <w:ilvl w:val="0"/>
                <w:numId w:val="33"/>
              </w:numPr>
              <w:jc w:val="both"/>
              <w:rPr>
                <w:noProof/>
              </w:rPr>
            </w:pPr>
            <w:r w:rsidRPr="009A10A2">
              <w:rPr>
                <w:b/>
                <w:bCs/>
                <w:noProof/>
              </w:rPr>
              <w:t>Accessible Materials</w:t>
            </w:r>
            <w:r w:rsidRPr="009A10A2">
              <w:rPr>
                <w:noProof/>
              </w:rPr>
              <w:t>: Prepare materials in accessible formats. Use buff-colored paper to reduce glare, which can be beneficial for students with dyslexia or visual stress. Choose clear, sans-serif fonts like Arial or Verdana, and keep text large and uncluttered. Simplify content where necessary, breaking down complex information into manageable chunks.</w:t>
            </w:r>
          </w:p>
          <w:p w14:paraId="22338948" w14:textId="77777777" w:rsidR="009A10A2" w:rsidRPr="009A10A2" w:rsidRDefault="009A10A2" w:rsidP="00D60C8E">
            <w:pPr>
              <w:numPr>
                <w:ilvl w:val="0"/>
                <w:numId w:val="33"/>
              </w:numPr>
              <w:jc w:val="both"/>
              <w:rPr>
                <w:noProof/>
              </w:rPr>
            </w:pPr>
            <w:r w:rsidRPr="009A10A2">
              <w:rPr>
                <w:b/>
                <w:bCs/>
                <w:noProof/>
              </w:rPr>
              <w:t>Scaffolding Strategies</w:t>
            </w:r>
            <w:r w:rsidRPr="009A10A2">
              <w:rPr>
                <w:noProof/>
              </w:rPr>
              <w:t>: Design your session with scaffolding in mind—providing temporary supports that help students complete tasks independently. This could include visual aids, such as diagrams or charts, sentence starters for written tasks, or step-by-step instructions. Scaffolded supports should be tailored to the specific needs of the students and can be gradually reduced as they become more confident.</w:t>
            </w:r>
          </w:p>
          <w:p w14:paraId="2E264E66" w14:textId="77777777" w:rsidR="009A10A2" w:rsidRPr="009A10A2" w:rsidRDefault="009A10A2" w:rsidP="00D60C8E">
            <w:pPr>
              <w:numPr>
                <w:ilvl w:val="0"/>
                <w:numId w:val="33"/>
              </w:numPr>
              <w:jc w:val="both"/>
              <w:rPr>
                <w:noProof/>
              </w:rPr>
            </w:pPr>
            <w:r w:rsidRPr="009A10A2">
              <w:rPr>
                <w:b/>
                <w:bCs/>
                <w:noProof/>
              </w:rPr>
              <w:t>Alternative Formats</w:t>
            </w:r>
            <w:r w:rsidRPr="009A10A2">
              <w:rPr>
                <w:noProof/>
              </w:rPr>
              <w:t>: Prepare to provide materials in multiple formats (e.g., audio, large print, or Braille) if needed. Ensure that digital content is compatible with screen readers and other assistive technologies.</w:t>
            </w:r>
          </w:p>
          <w:p w14:paraId="1F43FB94" w14:textId="77777777" w:rsidR="003402F5" w:rsidRDefault="003402F5" w:rsidP="003402F5">
            <w:pPr>
              <w:jc w:val="both"/>
              <w:rPr>
                <w:b/>
                <w:bCs/>
                <w:noProof/>
              </w:rPr>
            </w:pPr>
          </w:p>
          <w:p w14:paraId="0E9A5E39" w14:textId="6CF8C900" w:rsidR="009A10A2" w:rsidRDefault="009A10A2" w:rsidP="00F73BE7">
            <w:pPr>
              <w:shd w:val="clear" w:color="auto" w:fill="E7E6E6" w:themeFill="background2"/>
              <w:jc w:val="both"/>
              <w:rPr>
                <w:noProof/>
              </w:rPr>
            </w:pPr>
            <w:r w:rsidRPr="009A10A2">
              <w:rPr>
                <w:b/>
                <w:bCs/>
                <w:noProof/>
              </w:rPr>
              <w:t>Consider Environment</w:t>
            </w:r>
            <w:r w:rsidRPr="009A10A2">
              <w:rPr>
                <w:noProof/>
              </w:rPr>
              <w:t>:</w:t>
            </w:r>
          </w:p>
          <w:p w14:paraId="05B9BEAC" w14:textId="77777777" w:rsidR="00064C02" w:rsidRPr="009A10A2" w:rsidRDefault="00064C02" w:rsidP="003402F5">
            <w:pPr>
              <w:jc w:val="both"/>
              <w:rPr>
                <w:noProof/>
              </w:rPr>
            </w:pPr>
          </w:p>
          <w:p w14:paraId="531D68E7" w14:textId="5949BDF3" w:rsidR="009A10A2" w:rsidRPr="009A10A2" w:rsidRDefault="009A10A2" w:rsidP="004F6136">
            <w:pPr>
              <w:numPr>
                <w:ilvl w:val="0"/>
                <w:numId w:val="34"/>
              </w:numPr>
              <w:jc w:val="both"/>
              <w:rPr>
                <w:noProof/>
              </w:rPr>
            </w:pPr>
            <w:r w:rsidRPr="009A10A2">
              <w:rPr>
                <w:b/>
                <w:bCs/>
                <w:noProof/>
              </w:rPr>
              <w:t>Accessibility</w:t>
            </w:r>
            <w:r w:rsidRPr="009A10A2">
              <w:rPr>
                <w:noProof/>
              </w:rPr>
              <w:t xml:space="preserve">: </w:t>
            </w:r>
            <w:r w:rsidR="006C6A32">
              <w:rPr>
                <w:noProof/>
              </w:rPr>
              <w:t>If required s</w:t>
            </w:r>
            <w:r w:rsidRPr="009A10A2">
              <w:rPr>
                <w:noProof/>
              </w:rPr>
              <w:t>elect a venue that is fully accessible to all students. Ensure that the location is wheelchair-friendly and that there are no physical barriers that could impede access. Check that there are appropriate facilities, such as accessible toilets.</w:t>
            </w:r>
          </w:p>
          <w:p w14:paraId="2A4E489A" w14:textId="6B0AE09F" w:rsidR="009A10A2" w:rsidRPr="009A10A2" w:rsidRDefault="009A10A2" w:rsidP="004F6136">
            <w:pPr>
              <w:numPr>
                <w:ilvl w:val="0"/>
                <w:numId w:val="34"/>
              </w:numPr>
              <w:jc w:val="both"/>
              <w:rPr>
                <w:noProof/>
              </w:rPr>
            </w:pPr>
            <w:r w:rsidRPr="009A10A2">
              <w:rPr>
                <w:b/>
                <w:bCs/>
                <w:noProof/>
              </w:rPr>
              <w:t>Sensory Considerations</w:t>
            </w:r>
            <w:r w:rsidRPr="009A10A2">
              <w:rPr>
                <w:noProof/>
              </w:rPr>
              <w:t>: Ensure the environment is free from sensory triggers that could cause discomfort or distress to students with sensory sensitivities. Avoid harsh lighting, loud noises, or strong smells. Consider the use of calming colo</w:t>
            </w:r>
            <w:r w:rsidR="00FF69A3">
              <w:rPr>
                <w:noProof/>
              </w:rPr>
              <w:t>u</w:t>
            </w:r>
            <w:r w:rsidRPr="009A10A2">
              <w:rPr>
                <w:noProof/>
              </w:rPr>
              <w:t>rs and low-stimulus areas where students can take a break if needed.</w:t>
            </w:r>
          </w:p>
          <w:p w14:paraId="1843F7E4" w14:textId="48467AF4" w:rsidR="009A10A2" w:rsidRDefault="009A10A2" w:rsidP="004F6136">
            <w:pPr>
              <w:numPr>
                <w:ilvl w:val="0"/>
                <w:numId w:val="34"/>
              </w:numPr>
              <w:jc w:val="both"/>
              <w:rPr>
                <w:noProof/>
              </w:rPr>
            </w:pPr>
            <w:r w:rsidRPr="009A10A2">
              <w:rPr>
                <w:b/>
                <w:bCs/>
                <w:noProof/>
              </w:rPr>
              <w:t>Inclusive Layout</w:t>
            </w:r>
            <w:r w:rsidRPr="009A10A2">
              <w:rPr>
                <w:noProof/>
              </w:rPr>
              <w:t xml:space="preserve">: </w:t>
            </w:r>
            <w:r w:rsidR="00F362D5">
              <w:rPr>
                <w:noProof/>
              </w:rPr>
              <w:t xml:space="preserve">If possible and </w:t>
            </w:r>
            <w:r w:rsidR="009F2AE9">
              <w:rPr>
                <w:noProof/>
              </w:rPr>
              <w:t xml:space="preserve">where </w:t>
            </w:r>
            <w:r w:rsidR="00F362D5">
              <w:rPr>
                <w:noProof/>
              </w:rPr>
              <w:t>required a</w:t>
            </w:r>
            <w:r w:rsidRPr="009A10A2">
              <w:rPr>
                <w:noProof/>
              </w:rPr>
              <w:t>rrange the room in a way that promotes inclusion, with clear sightlines for all students and seating arrangements that facilitate easy movement and communication.</w:t>
            </w:r>
          </w:p>
          <w:p w14:paraId="6116613B" w14:textId="7AF38D80" w:rsidR="003D4C19" w:rsidRPr="0044219F" w:rsidRDefault="003D4C19" w:rsidP="00400ED0">
            <w:pPr>
              <w:jc w:val="both"/>
              <w:rPr>
                <w:noProof/>
              </w:rPr>
            </w:pPr>
          </w:p>
        </w:tc>
      </w:tr>
    </w:tbl>
    <w:p w14:paraId="5CC232D8" w14:textId="77777777" w:rsidR="00737297" w:rsidRDefault="00737297" w:rsidP="004378AE">
      <w:pPr>
        <w:rPr>
          <w:rFonts w:ascii="Century Gothic" w:hAnsi="Century Gothic" w:cs="Arial"/>
          <w:b/>
          <w:bCs/>
          <w:color w:val="7030A0"/>
        </w:rPr>
      </w:pPr>
    </w:p>
    <w:tbl>
      <w:tblPr>
        <w:tblStyle w:val="TableGrid"/>
        <w:tblW w:w="0" w:type="auto"/>
        <w:tblLook w:val="04A0" w:firstRow="1" w:lastRow="0" w:firstColumn="1" w:lastColumn="0" w:noHBand="0" w:noVBand="1"/>
      </w:tblPr>
      <w:tblGrid>
        <w:gridCol w:w="9016"/>
      </w:tblGrid>
      <w:tr w:rsidR="003402F5" w:rsidRPr="00211005" w14:paraId="00200250" w14:textId="77777777" w:rsidTr="00842986">
        <w:tc>
          <w:tcPr>
            <w:tcW w:w="9016" w:type="dxa"/>
            <w:shd w:val="clear" w:color="auto" w:fill="67C3CE"/>
          </w:tcPr>
          <w:p w14:paraId="5967D9EB" w14:textId="7609BBE8" w:rsidR="003402F5" w:rsidRPr="00211005" w:rsidRDefault="003402F5" w:rsidP="00842986">
            <w:pPr>
              <w:jc w:val="center"/>
              <w:rPr>
                <w:rFonts w:ascii="Century Gothic" w:hAnsi="Century Gothic" w:cs="Arial"/>
                <w:b/>
                <w:bCs/>
                <w:color w:val="FFFFFF" w:themeColor="background1"/>
              </w:rPr>
            </w:pPr>
            <w:r>
              <w:rPr>
                <w:rFonts w:ascii="Century Gothic" w:hAnsi="Century Gothic" w:cs="Arial"/>
                <w:b/>
                <w:bCs/>
                <w:color w:val="FFFFFF" w:themeColor="background1"/>
              </w:rPr>
              <w:lastRenderedPageBreak/>
              <w:t>DO</w:t>
            </w:r>
          </w:p>
        </w:tc>
      </w:tr>
      <w:tr w:rsidR="003402F5" w:rsidRPr="0044219F" w14:paraId="6B6118B0" w14:textId="77777777" w:rsidTr="0053284E">
        <w:trPr>
          <w:trHeight w:val="1266"/>
        </w:trPr>
        <w:tc>
          <w:tcPr>
            <w:tcW w:w="9016" w:type="dxa"/>
          </w:tcPr>
          <w:p w14:paraId="53AFE400" w14:textId="77777777" w:rsidR="00400ED0" w:rsidRDefault="00400ED0" w:rsidP="00400ED0">
            <w:pPr>
              <w:jc w:val="both"/>
              <w:rPr>
                <w:b/>
                <w:bCs/>
                <w:noProof/>
              </w:rPr>
            </w:pPr>
          </w:p>
          <w:p w14:paraId="1623FC44" w14:textId="5DEC7776" w:rsidR="00400ED0" w:rsidRDefault="00400ED0" w:rsidP="000D5864">
            <w:pPr>
              <w:shd w:val="clear" w:color="auto" w:fill="E7E6E6" w:themeFill="background2"/>
              <w:jc w:val="both"/>
              <w:rPr>
                <w:noProof/>
              </w:rPr>
            </w:pPr>
            <w:r w:rsidRPr="009A10A2">
              <w:rPr>
                <w:b/>
                <w:bCs/>
                <w:noProof/>
              </w:rPr>
              <w:t>Deliver with Flexibility</w:t>
            </w:r>
            <w:r w:rsidRPr="009A10A2">
              <w:rPr>
                <w:noProof/>
              </w:rPr>
              <w:t>:</w:t>
            </w:r>
          </w:p>
          <w:p w14:paraId="108D1817" w14:textId="77777777" w:rsidR="00400ED0" w:rsidRPr="009A10A2" w:rsidRDefault="00400ED0" w:rsidP="00400ED0">
            <w:pPr>
              <w:jc w:val="both"/>
              <w:rPr>
                <w:b/>
                <w:bCs/>
                <w:noProof/>
              </w:rPr>
            </w:pPr>
          </w:p>
          <w:p w14:paraId="7D9179C4" w14:textId="77777777" w:rsidR="00400ED0" w:rsidRDefault="00400ED0" w:rsidP="000D5864">
            <w:pPr>
              <w:numPr>
                <w:ilvl w:val="1"/>
                <w:numId w:val="26"/>
              </w:numPr>
              <w:ind w:left="720"/>
              <w:jc w:val="both"/>
              <w:rPr>
                <w:noProof/>
              </w:rPr>
            </w:pPr>
            <w:r w:rsidRPr="009A10A2">
              <w:rPr>
                <w:b/>
                <w:bCs/>
                <w:noProof/>
              </w:rPr>
              <w:t>Clear Instructions</w:t>
            </w:r>
            <w:r w:rsidRPr="009A10A2">
              <w:rPr>
                <w:noProof/>
              </w:rPr>
              <w:t>: Begin the session with clear, concise instructions. Use simple language and avoid jargon. Provide an overview of what the session will cover, what the students are expected to do, and what support will be available. Regularly check for understanding by asking questions or encouraging students to paraphrase key points.</w:t>
            </w:r>
          </w:p>
          <w:p w14:paraId="03E91DDE" w14:textId="77777777" w:rsidR="00400ED0" w:rsidRPr="009A10A2" w:rsidRDefault="00400ED0" w:rsidP="000D5864">
            <w:pPr>
              <w:ind w:left="720"/>
              <w:jc w:val="both"/>
              <w:rPr>
                <w:noProof/>
              </w:rPr>
            </w:pPr>
          </w:p>
          <w:p w14:paraId="50F955D4" w14:textId="77777777" w:rsidR="00400ED0" w:rsidRDefault="00400ED0" w:rsidP="000D5864">
            <w:pPr>
              <w:numPr>
                <w:ilvl w:val="1"/>
                <w:numId w:val="26"/>
              </w:numPr>
              <w:ind w:left="720"/>
              <w:jc w:val="both"/>
              <w:rPr>
                <w:noProof/>
              </w:rPr>
            </w:pPr>
            <w:r w:rsidRPr="009A10A2">
              <w:rPr>
                <w:b/>
                <w:bCs/>
                <w:noProof/>
              </w:rPr>
              <w:t>Interactive Scaffolding</w:t>
            </w:r>
            <w:r w:rsidRPr="009A10A2">
              <w:rPr>
                <w:noProof/>
              </w:rPr>
              <w:t>: Implement scaffolding strategies during the session. This could include using visual aids to explain concepts, providing written prompts to guide students' thinking, or breaking tasks into smaller, more manageable steps. Be prepared to provide additional support as needed, and gradually reduce scaffolding as students gain confidence.</w:t>
            </w:r>
          </w:p>
          <w:p w14:paraId="1C7B8082" w14:textId="77777777" w:rsidR="00400ED0" w:rsidRPr="009A10A2" w:rsidRDefault="00400ED0" w:rsidP="000D5864">
            <w:pPr>
              <w:jc w:val="both"/>
              <w:rPr>
                <w:noProof/>
              </w:rPr>
            </w:pPr>
          </w:p>
          <w:p w14:paraId="085E8926" w14:textId="77777777" w:rsidR="00400ED0" w:rsidRDefault="00400ED0" w:rsidP="000D5864">
            <w:pPr>
              <w:numPr>
                <w:ilvl w:val="1"/>
                <w:numId w:val="26"/>
              </w:numPr>
              <w:ind w:left="720"/>
              <w:jc w:val="both"/>
              <w:rPr>
                <w:noProof/>
              </w:rPr>
            </w:pPr>
            <w:r w:rsidRPr="009A10A2">
              <w:rPr>
                <w:b/>
                <w:bCs/>
                <w:noProof/>
              </w:rPr>
              <w:t>Real-Time Adaptation</w:t>
            </w:r>
            <w:r w:rsidRPr="009A10A2">
              <w:rPr>
                <w:noProof/>
              </w:rPr>
              <w:t>: Stay flexible and be ready to adjust your approach based on students’ reactions. If certain activities are not working for some students, be prepared to adapt them on the spot. For example, if a group activity proves too challenging for a student with social anxiety, provide an alternative way for them to participate.</w:t>
            </w:r>
          </w:p>
          <w:p w14:paraId="2BA4381D" w14:textId="77777777" w:rsidR="00400ED0" w:rsidRPr="009A10A2" w:rsidRDefault="00400ED0" w:rsidP="0053284E">
            <w:pPr>
              <w:jc w:val="both"/>
              <w:rPr>
                <w:noProof/>
              </w:rPr>
            </w:pPr>
          </w:p>
          <w:p w14:paraId="2DC03632" w14:textId="77777777" w:rsidR="00400ED0" w:rsidRDefault="00400ED0" w:rsidP="0042692F">
            <w:pPr>
              <w:shd w:val="clear" w:color="auto" w:fill="E7E6E6" w:themeFill="background2"/>
              <w:jc w:val="both"/>
              <w:rPr>
                <w:noProof/>
              </w:rPr>
            </w:pPr>
            <w:r w:rsidRPr="009A10A2">
              <w:rPr>
                <w:b/>
                <w:bCs/>
                <w:noProof/>
              </w:rPr>
              <w:t>Engage All Students</w:t>
            </w:r>
            <w:r w:rsidRPr="009A10A2">
              <w:rPr>
                <w:noProof/>
              </w:rPr>
              <w:t>:</w:t>
            </w:r>
          </w:p>
          <w:p w14:paraId="6BFC9DBF" w14:textId="77777777" w:rsidR="00400ED0" w:rsidRPr="009A10A2" w:rsidRDefault="00400ED0" w:rsidP="00400ED0">
            <w:pPr>
              <w:jc w:val="both"/>
              <w:rPr>
                <w:noProof/>
              </w:rPr>
            </w:pPr>
          </w:p>
          <w:p w14:paraId="41EBE944" w14:textId="77777777" w:rsidR="00400ED0" w:rsidRPr="009A10A2" w:rsidRDefault="00400ED0" w:rsidP="00577560">
            <w:pPr>
              <w:numPr>
                <w:ilvl w:val="0"/>
                <w:numId w:val="26"/>
              </w:numPr>
              <w:jc w:val="both"/>
              <w:rPr>
                <w:noProof/>
              </w:rPr>
            </w:pPr>
            <w:r w:rsidRPr="009A10A2">
              <w:rPr>
                <w:b/>
                <w:bCs/>
                <w:noProof/>
              </w:rPr>
              <w:t>Inclusive Participation</w:t>
            </w:r>
            <w:r w:rsidRPr="009A10A2">
              <w:rPr>
                <w:noProof/>
              </w:rPr>
              <w:t>: Encourage participation by adapting activities to accommodate different abilities and needs. This could involve providing alternative ways for students to engage with the content, such as through drawing, role-play, or using assistive technology. Make sure that all students feel valued and included, regardless of their abilities.</w:t>
            </w:r>
          </w:p>
          <w:p w14:paraId="1260AC06" w14:textId="77777777" w:rsidR="00400ED0" w:rsidRPr="009A10A2" w:rsidRDefault="00400ED0" w:rsidP="00577560">
            <w:pPr>
              <w:numPr>
                <w:ilvl w:val="0"/>
                <w:numId w:val="26"/>
              </w:numPr>
              <w:jc w:val="both"/>
              <w:rPr>
                <w:noProof/>
              </w:rPr>
            </w:pPr>
            <w:r w:rsidRPr="009A10A2">
              <w:rPr>
                <w:b/>
                <w:bCs/>
                <w:noProof/>
              </w:rPr>
              <w:t>Use of Inclusive Language</w:t>
            </w:r>
            <w:r w:rsidRPr="009A10A2">
              <w:rPr>
                <w:noProof/>
              </w:rPr>
              <w:t>: Be mindful of the language you use. Avoid terms that might be exclusionary or stigmatizing. Use examples and scenarios that reflect the diversity of the student population, including different abilities, races, and backgrounds. This helps create a sense of belonging for all students.</w:t>
            </w:r>
          </w:p>
          <w:p w14:paraId="21B41F40" w14:textId="77777777" w:rsidR="00400ED0" w:rsidRPr="009A10A2" w:rsidRDefault="00400ED0" w:rsidP="00577560">
            <w:pPr>
              <w:numPr>
                <w:ilvl w:val="0"/>
                <w:numId w:val="26"/>
              </w:numPr>
              <w:jc w:val="both"/>
              <w:rPr>
                <w:noProof/>
              </w:rPr>
            </w:pPr>
            <w:r w:rsidRPr="009A10A2">
              <w:rPr>
                <w:b/>
                <w:bCs/>
                <w:noProof/>
              </w:rPr>
              <w:t>Peer Support</w:t>
            </w:r>
            <w:r w:rsidRPr="009A10A2">
              <w:rPr>
                <w:noProof/>
              </w:rPr>
              <w:t>: Where appropriate, encourage peer support. Pair students with different strengths so they can help each other. This not only supports learning but also fosters a sense of community and cooperation.</w:t>
            </w:r>
          </w:p>
          <w:p w14:paraId="1C6A38B9" w14:textId="77777777" w:rsidR="00400ED0" w:rsidRPr="00400ED0" w:rsidRDefault="00400ED0" w:rsidP="00400ED0">
            <w:pPr>
              <w:ind w:left="720"/>
              <w:jc w:val="both"/>
              <w:rPr>
                <w:noProof/>
              </w:rPr>
            </w:pPr>
          </w:p>
          <w:p w14:paraId="161F8F27" w14:textId="43B89CF5" w:rsidR="00400ED0" w:rsidRDefault="00400ED0" w:rsidP="003F4A47">
            <w:pPr>
              <w:shd w:val="clear" w:color="auto" w:fill="E7E6E6" w:themeFill="background2"/>
              <w:jc w:val="both"/>
              <w:rPr>
                <w:noProof/>
              </w:rPr>
            </w:pPr>
            <w:r w:rsidRPr="009A10A2">
              <w:rPr>
                <w:b/>
                <w:bCs/>
                <w:noProof/>
              </w:rPr>
              <w:t>Monitor and Support</w:t>
            </w:r>
            <w:r w:rsidRPr="009A10A2">
              <w:rPr>
                <w:noProof/>
              </w:rPr>
              <w:t>:</w:t>
            </w:r>
          </w:p>
          <w:p w14:paraId="00310A7C" w14:textId="77777777" w:rsidR="00400ED0" w:rsidRPr="009A10A2" w:rsidRDefault="00400ED0" w:rsidP="00400ED0">
            <w:pPr>
              <w:jc w:val="both"/>
              <w:rPr>
                <w:noProof/>
              </w:rPr>
            </w:pPr>
          </w:p>
          <w:p w14:paraId="53C387C9" w14:textId="77777777" w:rsidR="00400ED0" w:rsidRPr="009A10A2" w:rsidRDefault="00400ED0" w:rsidP="00C1383A">
            <w:pPr>
              <w:numPr>
                <w:ilvl w:val="0"/>
                <w:numId w:val="28"/>
              </w:numPr>
              <w:jc w:val="both"/>
              <w:rPr>
                <w:noProof/>
              </w:rPr>
            </w:pPr>
            <w:r w:rsidRPr="009A10A2">
              <w:rPr>
                <w:b/>
                <w:bCs/>
                <w:noProof/>
              </w:rPr>
              <w:t>Ongoing Observation</w:t>
            </w:r>
            <w:r w:rsidRPr="009A10A2">
              <w:rPr>
                <w:noProof/>
              </w:rPr>
              <w:t>: Continuously monitor students throughout the session to identify those who may need additional help. Watch for signs of disengagement, frustration, or distress, and intervene early to provide support. This might involve offering additional explanations, modifying tasks, or providing a brief break.</w:t>
            </w:r>
          </w:p>
          <w:p w14:paraId="0F3D01D7" w14:textId="77777777" w:rsidR="00400ED0" w:rsidRPr="009A10A2" w:rsidRDefault="00400ED0" w:rsidP="00C1383A">
            <w:pPr>
              <w:numPr>
                <w:ilvl w:val="0"/>
                <w:numId w:val="28"/>
              </w:numPr>
              <w:jc w:val="both"/>
              <w:rPr>
                <w:noProof/>
              </w:rPr>
            </w:pPr>
            <w:r w:rsidRPr="009A10A2">
              <w:rPr>
                <w:b/>
                <w:bCs/>
                <w:noProof/>
              </w:rPr>
              <w:t>Responsive Support</w:t>
            </w:r>
            <w:r w:rsidRPr="009A10A2">
              <w:rPr>
                <w:noProof/>
              </w:rPr>
              <w:t>: Be proactive in providing support, but also encourage students to ask for help when they need it. Create an environment where students feel comfortable expressing their needs and asking for assistance without fear of judgment.</w:t>
            </w:r>
          </w:p>
          <w:p w14:paraId="7890F056" w14:textId="38648E2B" w:rsidR="003402F5" w:rsidRPr="0044219F" w:rsidRDefault="00400ED0" w:rsidP="00C1383A">
            <w:pPr>
              <w:numPr>
                <w:ilvl w:val="0"/>
                <w:numId w:val="28"/>
              </w:numPr>
              <w:jc w:val="both"/>
              <w:rPr>
                <w:noProof/>
              </w:rPr>
            </w:pPr>
            <w:r w:rsidRPr="009A10A2">
              <w:rPr>
                <w:b/>
                <w:bCs/>
                <w:noProof/>
              </w:rPr>
              <w:t>Adaptation in Action</w:t>
            </w:r>
            <w:r w:rsidRPr="009A10A2">
              <w:rPr>
                <w:noProof/>
              </w:rPr>
              <w:t>: If you notice that a particular strategy isn’t working, don’t hesitate to change it. For example, if a student with ADHD is struggling to stay focu</w:t>
            </w:r>
            <w:r w:rsidR="00431D93">
              <w:rPr>
                <w:noProof/>
              </w:rPr>
              <w:t>s</w:t>
            </w:r>
            <w:r w:rsidRPr="009A10A2">
              <w:rPr>
                <w:noProof/>
              </w:rPr>
              <w:t>sed, you might introduce a movement break or use more interactive elements to keep them engaged.</w:t>
            </w:r>
          </w:p>
        </w:tc>
      </w:tr>
    </w:tbl>
    <w:p w14:paraId="630BD909" w14:textId="77777777" w:rsidR="003402F5" w:rsidRPr="00900736" w:rsidRDefault="003402F5" w:rsidP="004378AE">
      <w:pPr>
        <w:rPr>
          <w:rFonts w:ascii="Century Gothic" w:hAnsi="Century Gothic" w:cs="Arial"/>
          <w:b/>
          <w:bCs/>
          <w:color w:val="7030A0"/>
        </w:rPr>
      </w:pPr>
    </w:p>
    <w:tbl>
      <w:tblPr>
        <w:tblStyle w:val="TableGrid"/>
        <w:tblW w:w="0" w:type="auto"/>
        <w:tblLook w:val="04A0" w:firstRow="1" w:lastRow="0" w:firstColumn="1" w:lastColumn="0" w:noHBand="0" w:noVBand="1"/>
      </w:tblPr>
      <w:tblGrid>
        <w:gridCol w:w="9016"/>
      </w:tblGrid>
      <w:tr w:rsidR="003402F5" w:rsidRPr="00211005" w14:paraId="12CB9F86" w14:textId="77777777" w:rsidTr="00842986">
        <w:tc>
          <w:tcPr>
            <w:tcW w:w="9016" w:type="dxa"/>
            <w:shd w:val="clear" w:color="auto" w:fill="67C3CE"/>
          </w:tcPr>
          <w:p w14:paraId="465054A2" w14:textId="0EBDD62D" w:rsidR="003402F5" w:rsidRPr="00211005" w:rsidRDefault="007073A3" w:rsidP="00842986">
            <w:pPr>
              <w:jc w:val="center"/>
              <w:rPr>
                <w:rFonts w:ascii="Century Gothic" w:hAnsi="Century Gothic" w:cs="Arial"/>
                <w:b/>
                <w:bCs/>
                <w:color w:val="FFFFFF" w:themeColor="background1"/>
              </w:rPr>
            </w:pPr>
            <w:r>
              <w:rPr>
                <w:rFonts w:ascii="Century Gothic" w:hAnsi="Century Gothic" w:cs="Arial"/>
                <w:b/>
                <w:bCs/>
                <w:color w:val="FFFFFF" w:themeColor="background1"/>
              </w:rPr>
              <w:t xml:space="preserve">REVIEW </w:t>
            </w:r>
          </w:p>
        </w:tc>
      </w:tr>
      <w:tr w:rsidR="003402F5" w:rsidRPr="0044219F" w14:paraId="4900561C" w14:textId="77777777" w:rsidTr="009E72BB">
        <w:trPr>
          <w:trHeight w:val="274"/>
        </w:trPr>
        <w:tc>
          <w:tcPr>
            <w:tcW w:w="9016" w:type="dxa"/>
          </w:tcPr>
          <w:p w14:paraId="63905699" w14:textId="35C1B763" w:rsidR="003402F5" w:rsidRPr="009A10A2" w:rsidRDefault="003402F5" w:rsidP="00842986">
            <w:pPr>
              <w:jc w:val="both"/>
              <w:rPr>
                <w:b/>
                <w:bCs/>
                <w:noProof/>
              </w:rPr>
            </w:pPr>
          </w:p>
          <w:p w14:paraId="335727F7" w14:textId="77777777" w:rsidR="003402F5" w:rsidRDefault="003402F5" w:rsidP="00522299">
            <w:pPr>
              <w:shd w:val="clear" w:color="auto" w:fill="E7E6E6" w:themeFill="background2"/>
              <w:jc w:val="both"/>
              <w:rPr>
                <w:noProof/>
              </w:rPr>
            </w:pPr>
            <w:r w:rsidRPr="009A10A2">
              <w:rPr>
                <w:b/>
                <w:bCs/>
                <w:noProof/>
              </w:rPr>
              <w:t>Gather Feedback</w:t>
            </w:r>
            <w:r w:rsidRPr="009A10A2">
              <w:rPr>
                <w:noProof/>
              </w:rPr>
              <w:t>:</w:t>
            </w:r>
          </w:p>
          <w:p w14:paraId="50992754" w14:textId="77777777" w:rsidR="009E72BB" w:rsidRPr="009A10A2" w:rsidRDefault="009E72BB" w:rsidP="009E72BB">
            <w:pPr>
              <w:jc w:val="both"/>
              <w:rPr>
                <w:noProof/>
              </w:rPr>
            </w:pPr>
          </w:p>
          <w:p w14:paraId="31A4F64A" w14:textId="77777777" w:rsidR="003402F5" w:rsidRPr="009A10A2" w:rsidRDefault="003402F5" w:rsidP="00860040">
            <w:pPr>
              <w:numPr>
                <w:ilvl w:val="0"/>
                <w:numId w:val="29"/>
              </w:numPr>
              <w:jc w:val="both"/>
              <w:rPr>
                <w:noProof/>
              </w:rPr>
            </w:pPr>
            <w:r w:rsidRPr="009A10A2">
              <w:rPr>
                <w:b/>
                <w:bCs/>
                <w:noProof/>
              </w:rPr>
              <w:t>Student and Staff Feedback</w:t>
            </w:r>
            <w:r w:rsidRPr="009A10A2">
              <w:rPr>
                <w:noProof/>
              </w:rPr>
              <w:t>: After the session, gather feedback from both students and staff. Use a variety of methods, such as surveys, informal discussions, or observation notes. Pay special attention to feedback from those directly supporting SEND students, as they can provide insights into what worked well and what could be improved.</w:t>
            </w:r>
          </w:p>
          <w:p w14:paraId="20893A45" w14:textId="77777777" w:rsidR="003402F5" w:rsidRPr="009A10A2" w:rsidRDefault="003402F5" w:rsidP="00860040">
            <w:pPr>
              <w:numPr>
                <w:ilvl w:val="0"/>
                <w:numId w:val="29"/>
              </w:numPr>
              <w:jc w:val="both"/>
              <w:rPr>
                <w:noProof/>
              </w:rPr>
            </w:pPr>
            <w:r w:rsidRPr="009A10A2">
              <w:rPr>
                <w:b/>
                <w:bCs/>
                <w:noProof/>
              </w:rPr>
              <w:t>Inclusive Feedback Collection</w:t>
            </w:r>
            <w:r w:rsidRPr="009A10A2">
              <w:rPr>
                <w:noProof/>
              </w:rPr>
              <w:t>: Ensure that the feedback process is accessible to all students. This might involve providing feedback forms in different formats, allowing verbal feedback, or offering one-on-one feedback sessions for students who need additional support.</w:t>
            </w:r>
          </w:p>
          <w:p w14:paraId="4B8D242F" w14:textId="77777777" w:rsidR="003402F5" w:rsidRPr="009A10A2" w:rsidRDefault="003402F5" w:rsidP="00860040">
            <w:pPr>
              <w:numPr>
                <w:ilvl w:val="0"/>
                <w:numId w:val="29"/>
              </w:numPr>
              <w:jc w:val="both"/>
              <w:rPr>
                <w:noProof/>
              </w:rPr>
            </w:pPr>
            <w:r w:rsidRPr="009A10A2">
              <w:rPr>
                <w:b/>
                <w:bCs/>
                <w:noProof/>
              </w:rPr>
              <w:t>Analyzing Feedback</w:t>
            </w:r>
            <w:r w:rsidRPr="009A10A2">
              <w:rPr>
                <w:noProof/>
              </w:rPr>
              <w:t>: Look for patterns in the feedback that indicate which strategies were most effective. Identify any common challenges or areas where students struggled, and consider how these could be addressed in future sessions.</w:t>
            </w:r>
          </w:p>
          <w:p w14:paraId="2EA390FB" w14:textId="77777777" w:rsidR="009E72BB" w:rsidRDefault="009E72BB" w:rsidP="009E72BB">
            <w:pPr>
              <w:jc w:val="both"/>
              <w:rPr>
                <w:b/>
                <w:bCs/>
                <w:noProof/>
              </w:rPr>
            </w:pPr>
          </w:p>
          <w:p w14:paraId="00B204FB" w14:textId="1E86A639" w:rsidR="003402F5" w:rsidRPr="009A10A2" w:rsidRDefault="003402F5" w:rsidP="00963F9C">
            <w:pPr>
              <w:shd w:val="clear" w:color="auto" w:fill="E7E6E6" w:themeFill="background2"/>
              <w:jc w:val="both"/>
              <w:rPr>
                <w:noProof/>
              </w:rPr>
            </w:pPr>
            <w:r w:rsidRPr="009A10A2">
              <w:rPr>
                <w:b/>
                <w:bCs/>
                <w:noProof/>
              </w:rPr>
              <w:t>Reflect on Success</w:t>
            </w:r>
            <w:r w:rsidRPr="009A10A2">
              <w:rPr>
                <w:noProof/>
              </w:rPr>
              <w:t>:</w:t>
            </w:r>
          </w:p>
          <w:p w14:paraId="42A06841" w14:textId="77777777" w:rsidR="00963F9C" w:rsidRPr="00963F9C" w:rsidRDefault="00963F9C" w:rsidP="00963F9C">
            <w:pPr>
              <w:ind w:left="720"/>
              <w:jc w:val="both"/>
              <w:rPr>
                <w:noProof/>
              </w:rPr>
            </w:pPr>
          </w:p>
          <w:p w14:paraId="4875C5DC" w14:textId="0688A14B" w:rsidR="003402F5" w:rsidRPr="009A10A2" w:rsidRDefault="003402F5" w:rsidP="00860040">
            <w:pPr>
              <w:numPr>
                <w:ilvl w:val="0"/>
                <w:numId w:val="31"/>
              </w:numPr>
              <w:jc w:val="both"/>
              <w:rPr>
                <w:noProof/>
              </w:rPr>
            </w:pPr>
            <w:r w:rsidRPr="009A10A2">
              <w:rPr>
                <w:b/>
                <w:bCs/>
                <w:noProof/>
              </w:rPr>
              <w:t>Successes and Challenges</w:t>
            </w:r>
            <w:r w:rsidRPr="009A10A2">
              <w:rPr>
                <w:noProof/>
              </w:rPr>
              <w:t>: Reflect on the session to identify what worked well and what could be improved. Consider how effective the scaffolding and adaptations were in supporting students with SEND. Document these reflections for future reference and share them with colleagues to build collective knowledge and improve practice.</w:t>
            </w:r>
          </w:p>
          <w:p w14:paraId="693456FF" w14:textId="77777777" w:rsidR="003402F5" w:rsidRPr="009A10A2" w:rsidRDefault="003402F5" w:rsidP="00860040">
            <w:pPr>
              <w:numPr>
                <w:ilvl w:val="0"/>
                <w:numId w:val="31"/>
              </w:numPr>
              <w:jc w:val="both"/>
              <w:rPr>
                <w:noProof/>
              </w:rPr>
            </w:pPr>
            <w:r w:rsidRPr="009A10A2">
              <w:rPr>
                <w:b/>
                <w:bCs/>
                <w:noProof/>
              </w:rPr>
              <w:t>Case Studies and Examples</w:t>
            </w:r>
            <w:r w:rsidRPr="009A10A2">
              <w:rPr>
                <w:noProof/>
              </w:rPr>
              <w:t>: Where possible, document specific examples or case studies of success. These could be shared with other staff members as examples of best practice or used in training sessions to illustrate effective strategies.</w:t>
            </w:r>
          </w:p>
          <w:p w14:paraId="17FA6448" w14:textId="77777777" w:rsidR="003402F5" w:rsidRPr="009A10A2" w:rsidRDefault="003402F5" w:rsidP="00860040">
            <w:pPr>
              <w:numPr>
                <w:ilvl w:val="0"/>
                <w:numId w:val="31"/>
              </w:numPr>
              <w:jc w:val="both"/>
              <w:rPr>
                <w:noProof/>
              </w:rPr>
            </w:pPr>
            <w:r w:rsidRPr="009A10A2">
              <w:rPr>
                <w:b/>
                <w:bCs/>
                <w:noProof/>
              </w:rPr>
              <w:t>Future Planning</w:t>
            </w:r>
            <w:r w:rsidRPr="009A10A2">
              <w:rPr>
                <w:noProof/>
              </w:rPr>
              <w:t>: Use the insights gained from reflection to inform future planning. Adjust your approach to better meet the needs of SEND students in future sessions, incorporating new strategies or resources as needed.</w:t>
            </w:r>
          </w:p>
          <w:p w14:paraId="08271630" w14:textId="77777777" w:rsidR="009E72BB" w:rsidRDefault="009E72BB" w:rsidP="009E72BB">
            <w:pPr>
              <w:jc w:val="both"/>
              <w:rPr>
                <w:b/>
                <w:bCs/>
                <w:noProof/>
              </w:rPr>
            </w:pPr>
          </w:p>
          <w:p w14:paraId="7BE5EA5B" w14:textId="773D5D09" w:rsidR="003402F5" w:rsidRDefault="003402F5" w:rsidP="00963F9C">
            <w:pPr>
              <w:shd w:val="clear" w:color="auto" w:fill="E7E6E6" w:themeFill="background2"/>
              <w:jc w:val="both"/>
              <w:rPr>
                <w:noProof/>
              </w:rPr>
            </w:pPr>
            <w:r w:rsidRPr="009A10A2">
              <w:rPr>
                <w:b/>
                <w:bCs/>
                <w:noProof/>
              </w:rPr>
              <w:t>Plan for Future Improvements</w:t>
            </w:r>
            <w:r w:rsidRPr="009A10A2">
              <w:rPr>
                <w:noProof/>
              </w:rPr>
              <w:t>:</w:t>
            </w:r>
          </w:p>
          <w:p w14:paraId="341E3A2F" w14:textId="77777777" w:rsidR="00AC12C7" w:rsidRPr="009A10A2" w:rsidRDefault="00AC12C7" w:rsidP="009E72BB">
            <w:pPr>
              <w:jc w:val="both"/>
              <w:rPr>
                <w:noProof/>
              </w:rPr>
            </w:pPr>
          </w:p>
          <w:p w14:paraId="3E5C9AD9" w14:textId="77777777" w:rsidR="003402F5" w:rsidRPr="009A10A2" w:rsidRDefault="003402F5" w:rsidP="009842A2">
            <w:pPr>
              <w:numPr>
                <w:ilvl w:val="0"/>
                <w:numId w:val="32"/>
              </w:numPr>
              <w:jc w:val="both"/>
              <w:rPr>
                <w:noProof/>
              </w:rPr>
            </w:pPr>
            <w:r w:rsidRPr="009A10A2">
              <w:rPr>
                <w:b/>
                <w:bCs/>
                <w:noProof/>
              </w:rPr>
              <w:t>Continuous Improvement</w:t>
            </w:r>
            <w:r w:rsidRPr="009A10A2">
              <w:rPr>
                <w:noProof/>
              </w:rPr>
              <w:t>: Make a plan to address any areas for improvement identified in the review process. This could involve seeking out additional training, investing in new resources, or collaborating with colleagues to develop new strategies.</w:t>
            </w:r>
          </w:p>
          <w:p w14:paraId="01AD3EFE" w14:textId="77777777" w:rsidR="003402F5" w:rsidRPr="009A10A2" w:rsidRDefault="003402F5" w:rsidP="009842A2">
            <w:pPr>
              <w:numPr>
                <w:ilvl w:val="0"/>
                <w:numId w:val="32"/>
              </w:numPr>
              <w:jc w:val="both"/>
              <w:rPr>
                <w:noProof/>
              </w:rPr>
            </w:pPr>
            <w:r w:rsidRPr="009A10A2">
              <w:rPr>
                <w:b/>
                <w:bCs/>
                <w:noProof/>
              </w:rPr>
              <w:t>Ongoing Training</w:t>
            </w:r>
            <w:r w:rsidRPr="009A10A2">
              <w:rPr>
                <w:noProof/>
              </w:rPr>
              <w:t>: Stay informed about the latest best practices in working with SEND students. Attend relevant training sessions, read up-to-date literature, and engage in professional development opportunities that focus on inclusive education.</w:t>
            </w:r>
          </w:p>
          <w:p w14:paraId="022DF4EB" w14:textId="77777777" w:rsidR="003402F5" w:rsidRDefault="003402F5" w:rsidP="009842A2">
            <w:pPr>
              <w:numPr>
                <w:ilvl w:val="0"/>
                <w:numId w:val="32"/>
              </w:numPr>
              <w:jc w:val="both"/>
              <w:rPr>
                <w:noProof/>
              </w:rPr>
            </w:pPr>
            <w:r w:rsidRPr="009A10A2">
              <w:rPr>
                <w:b/>
                <w:bCs/>
                <w:noProof/>
              </w:rPr>
              <w:t>Sharing Best Practices</w:t>
            </w:r>
            <w:r w:rsidRPr="009A10A2">
              <w:rPr>
                <w:noProof/>
              </w:rPr>
              <w:t>: Share the lessons learned from your session with colleagues. This could be through formal debriefs, staff meetings, or informal discussions. Encourage a culture of continuous improvement where staff are always looking for ways to better support SEND students.</w:t>
            </w:r>
          </w:p>
          <w:p w14:paraId="3A39E395" w14:textId="77777777" w:rsidR="005756EE" w:rsidRDefault="005756EE" w:rsidP="005756EE">
            <w:pPr>
              <w:jc w:val="both"/>
              <w:rPr>
                <w:noProof/>
              </w:rPr>
            </w:pPr>
          </w:p>
          <w:p w14:paraId="7EE241B9" w14:textId="16CEA833" w:rsidR="0053284E" w:rsidRPr="00A33E67" w:rsidRDefault="005756EE" w:rsidP="00A33E67">
            <w:pPr>
              <w:jc w:val="both"/>
              <w:rPr>
                <w:i/>
                <w:iCs/>
                <w:noProof/>
              </w:rPr>
            </w:pPr>
            <w:r w:rsidRPr="005756EE">
              <w:rPr>
                <w:i/>
                <w:iCs/>
                <w:noProof/>
              </w:rPr>
              <w:t>Credit and Thanks to Sophie Chance</w:t>
            </w:r>
            <w:r>
              <w:rPr>
                <w:i/>
                <w:iCs/>
                <w:noProof/>
              </w:rPr>
              <w:t>, Associate Vice Principal,</w:t>
            </w:r>
            <w:r w:rsidRPr="005756EE">
              <w:rPr>
                <w:i/>
                <w:iCs/>
                <w:noProof/>
              </w:rPr>
              <w:t xml:space="preserve"> Grace Academy Darlaston</w:t>
            </w:r>
            <w:r w:rsidR="00B22E5D">
              <w:rPr>
                <w:i/>
                <w:iCs/>
                <w:noProof/>
              </w:rPr>
              <w:t>.</w:t>
            </w:r>
          </w:p>
        </w:tc>
      </w:tr>
    </w:tbl>
    <w:p w14:paraId="199CB2CC" w14:textId="77777777" w:rsidR="007075CB" w:rsidRDefault="007075CB"/>
    <w:sectPr w:rsidR="007075CB" w:rsidSect="001C6B85">
      <w:headerReference w:type="even" r:id="rId11"/>
      <w:headerReference w:type="default" r:id="rId12"/>
      <w:footerReference w:type="default" r:id="rId13"/>
      <w:head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2FAB" w14:textId="77777777" w:rsidR="00E709EF" w:rsidRDefault="00E709EF">
      <w:pPr>
        <w:spacing w:after="0" w:line="240" w:lineRule="auto"/>
      </w:pPr>
      <w:r>
        <w:separator/>
      </w:r>
    </w:p>
  </w:endnote>
  <w:endnote w:type="continuationSeparator" w:id="0">
    <w:p w14:paraId="0B6DF9DC" w14:textId="77777777" w:rsidR="00E709EF" w:rsidRDefault="00E7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121098633" name="Picture 12109863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FE1E6" w14:textId="77777777" w:rsidR="00E709EF" w:rsidRDefault="00E709EF">
      <w:pPr>
        <w:spacing w:after="0" w:line="240" w:lineRule="auto"/>
      </w:pPr>
      <w:r>
        <w:separator/>
      </w:r>
    </w:p>
  </w:footnote>
  <w:footnote w:type="continuationSeparator" w:id="0">
    <w:p w14:paraId="1146B359" w14:textId="77777777" w:rsidR="00E709EF" w:rsidRDefault="00E7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634539086"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1678844713" name="Picture 16788447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64C8D"/>
    <w:multiLevelType w:val="hybridMultilevel"/>
    <w:tmpl w:val="DEFC1434"/>
    <w:lvl w:ilvl="0" w:tplc="52646124">
      <w:start w:val="1"/>
      <w:numFmt w:val="bullet"/>
      <w:lvlText w:val="•"/>
      <w:lvlJc w:val="left"/>
      <w:pPr>
        <w:tabs>
          <w:tab w:val="num" w:pos="720"/>
        </w:tabs>
        <w:ind w:left="720" w:hanging="360"/>
      </w:pPr>
      <w:rPr>
        <w:rFonts w:ascii="Calibri" w:hAnsi="Calibri" w:hint="default"/>
      </w:rPr>
    </w:lvl>
    <w:lvl w:ilvl="1" w:tplc="3940956A" w:tentative="1">
      <w:start w:val="1"/>
      <w:numFmt w:val="bullet"/>
      <w:lvlText w:val="•"/>
      <w:lvlJc w:val="left"/>
      <w:pPr>
        <w:tabs>
          <w:tab w:val="num" w:pos="1440"/>
        </w:tabs>
        <w:ind w:left="1440" w:hanging="360"/>
      </w:pPr>
      <w:rPr>
        <w:rFonts w:ascii="Calibri" w:hAnsi="Calibri" w:hint="default"/>
      </w:rPr>
    </w:lvl>
    <w:lvl w:ilvl="2" w:tplc="A83EDABE" w:tentative="1">
      <w:start w:val="1"/>
      <w:numFmt w:val="bullet"/>
      <w:lvlText w:val="•"/>
      <w:lvlJc w:val="left"/>
      <w:pPr>
        <w:tabs>
          <w:tab w:val="num" w:pos="2160"/>
        </w:tabs>
        <w:ind w:left="2160" w:hanging="360"/>
      </w:pPr>
      <w:rPr>
        <w:rFonts w:ascii="Calibri" w:hAnsi="Calibri" w:hint="default"/>
      </w:rPr>
    </w:lvl>
    <w:lvl w:ilvl="3" w:tplc="500A29EC" w:tentative="1">
      <w:start w:val="1"/>
      <w:numFmt w:val="bullet"/>
      <w:lvlText w:val="•"/>
      <w:lvlJc w:val="left"/>
      <w:pPr>
        <w:tabs>
          <w:tab w:val="num" w:pos="2880"/>
        </w:tabs>
        <w:ind w:left="2880" w:hanging="360"/>
      </w:pPr>
      <w:rPr>
        <w:rFonts w:ascii="Calibri" w:hAnsi="Calibri" w:hint="default"/>
      </w:rPr>
    </w:lvl>
    <w:lvl w:ilvl="4" w:tplc="AAFE5A80" w:tentative="1">
      <w:start w:val="1"/>
      <w:numFmt w:val="bullet"/>
      <w:lvlText w:val="•"/>
      <w:lvlJc w:val="left"/>
      <w:pPr>
        <w:tabs>
          <w:tab w:val="num" w:pos="3600"/>
        </w:tabs>
        <w:ind w:left="3600" w:hanging="360"/>
      </w:pPr>
      <w:rPr>
        <w:rFonts w:ascii="Calibri" w:hAnsi="Calibri" w:hint="default"/>
      </w:rPr>
    </w:lvl>
    <w:lvl w:ilvl="5" w:tplc="76868BEA" w:tentative="1">
      <w:start w:val="1"/>
      <w:numFmt w:val="bullet"/>
      <w:lvlText w:val="•"/>
      <w:lvlJc w:val="left"/>
      <w:pPr>
        <w:tabs>
          <w:tab w:val="num" w:pos="4320"/>
        </w:tabs>
        <w:ind w:left="4320" w:hanging="360"/>
      </w:pPr>
      <w:rPr>
        <w:rFonts w:ascii="Calibri" w:hAnsi="Calibri" w:hint="default"/>
      </w:rPr>
    </w:lvl>
    <w:lvl w:ilvl="6" w:tplc="FEAA6406" w:tentative="1">
      <w:start w:val="1"/>
      <w:numFmt w:val="bullet"/>
      <w:lvlText w:val="•"/>
      <w:lvlJc w:val="left"/>
      <w:pPr>
        <w:tabs>
          <w:tab w:val="num" w:pos="5040"/>
        </w:tabs>
        <w:ind w:left="5040" w:hanging="360"/>
      </w:pPr>
      <w:rPr>
        <w:rFonts w:ascii="Calibri" w:hAnsi="Calibri" w:hint="default"/>
      </w:rPr>
    </w:lvl>
    <w:lvl w:ilvl="7" w:tplc="98E65414" w:tentative="1">
      <w:start w:val="1"/>
      <w:numFmt w:val="bullet"/>
      <w:lvlText w:val="•"/>
      <w:lvlJc w:val="left"/>
      <w:pPr>
        <w:tabs>
          <w:tab w:val="num" w:pos="5760"/>
        </w:tabs>
        <w:ind w:left="5760" w:hanging="360"/>
      </w:pPr>
      <w:rPr>
        <w:rFonts w:ascii="Calibri" w:hAnsi="Calibri" w:hint="default"/>
      </w:rPr>
    </w:lvl>
    <w:lvl w:ilvl="8" w:tplc="13D4075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7202127"/>
    <w:multiLevelType w:val="hybridMultilevel"/>
    <w:tmpl w:val="D74611C6"/>
    <w:lvl w:ilvl="0" w:tplc="58FC42CC">
      <w:start w:val="1"/>
      <w:numFmt w:val="bullet"/>
      <w:lvlText w:val=""/>
      <w:lvlJc w:val="left"/>
      <w:pPr>
        <w:ind w:left="720" w:hanging="360"/>
      </w:pPr>
      <w:rPr>
        <w:rFonts w:ascii="Wingdings" w:hAnsi="Wingdings" w:hint="default"/>
      </w:rPr>
    </w:lvl>
    <w:lvl w:ilvl="1" w:tplc="FCF26628">
      <w:start w:val="1"/>
      <w:numFmt w:val="bullet"/>
      <w:lvlText w:val="o"/>
      <w:lvlJc w:val="left"/>
      <w:pPr>
        <w:ind w:left="1440" w:hanging="360"/>
      </w:pPr>
      <w:rPr>
        <w:rFonts w:ascii="Courier New" w:hAnsi="Courier New" w:hint="default"/>
      </w:rPr>
    </w:lvl>
    <w:lvl w:ilvl="2" w:tplc="62A6D09C">
      <w:start w:val="1"/>
      <w:numFmt w:val="bullet"/>
      <w:lvlText w:val=""/>
      <w:lvlJc w:val="left"/>
      <w:pPr>
        <w:ind w:left="2160" w:hanging="360"/>
      </w:pPr>
      <w:rPr>
        <w:rFonts w:ascii="Wingdings" w:hAnsi="Wingdings" w:hint="default"/>
      </w:rPr>
    </w:lvl>
    <w:lvl w:ilvl="3" w:tplc="8766D7C0">
      <w:start w:val="1"/>
      <w:numFmt w:val="bullet"/>
      <w:lvlText w:val=""/>
      <w:lvlJc w:val="left"/>
      <w:pPr>
        <w:ind w:left="2880" w:hanging="360"/>
      </w:pPr>
      <w:rPr>
        <w:rFonts w:ascii="Symbol" w:hAnsi="Symbol" w:hint="default"/>
      </w:rPr>
    </w:lvl>
    <w:lvl w:ilvl="4" w:tplc="641E6250">
      <w:start w:val="1"/>
      <w:numFmt w:val="bullet"/>
      <w:lvlText w:val="o"/>
      <w:lvlJc w:val="left"/>
      <w:pPr>
        <w:ind w:left="3600" w:hanging="360"/>
      </w:pPr>
      <w:rPr>
        <w:rFonts w:ascii="Courier New" w:hAnsi="Courier New" w:hint="default"/>
      </w:rPr>
    </w:lvl>
    <w:lvl w:ilvl="5" w:tplc="F44E0950">
      <w:start w:val="1"/>
      <w:numFmt w:val="bullet"/>
      <w:lvlText w:val=""/>
      <w:lvlJc w:val="left"/>
      <w:pPr>
        <w:ind w:left="4320" w:hanging="360"/>
      </w:pPr>
      <w:rPr>
        <w:rFonts w:ascii="Wingdings" w:hAnsi="Wingdings" w:hint="default"/>
      </w:rPr>
    </w:lvl>
    <w:lvl w:ilvl="6" w:tplc="A9CEF354">
      <w:start w:val="1"/>
      <w:numFmt w:val="bullet"/>
      <w:lvlText w:val=""/>
      <w:lvlJc w:val="left"/>
      <w:pPr>
        <w:ind w:left="5040" w:hanging="360"/>
      </w:pPr>
      <w:rPr>
        <w:rFonts w:ascii="Symbol" w:hAnsi="Symbol" w:hint="default"/>
      </w:rPr>
    </w:lvl>
    <w:lvl w:ilvl="7" w:tplc="92CC0122">
      <w:start w:val="1"/>
      <w:numFmt w:val="bullet"/>
      <w:lvlText w:val="o"/>
      <w:lvlJc w:val="left"/>
      <w:pPr>
        <w:ind w:left="5760" w:hanging="360"/>
      </w:pPr>
      <w:rPr>
        <w:rFonts w:ascii="Courier New" w:hAnsi="Courier New" w:hint="default"/>
      </w:rPr>
    </w:lvl>
    <w:lvl w:ilvl="8" w:tplc="D7EE5E18">
      <w:start w:val="1"/>
      <w:numFmt w:val="bullet"/>
      <w:lvlText w:val=""/>
      <w:lvlJc w:val="left"/>
      <w:pPr>
        <w:ind w:left="6480" w:hanging="360"/>
      </w:pPr>
      <w:rPr>
        <w:rFonts w:ascii="Wingdings" w:hAnsi="Wingdings" w:hint="default"/>
      </w:rPr>
    </w:lvl>
  </w:abstractNum>
  <w:abstractNum w:abstractNumId="3" w15:restartNumberingAfterBreak="0">
    <w:nsid w:val="09680BE4"/>
    <w:multiLevelType w:val="multilevel"/>
    <w:tmpl w:val="6AFEED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010DB"/>
    <w:multiLevelType w:val="hybridMultilevel"/>
    <w:tmpl w:val="8C783E74"/>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54EEC"/>
    <w:multiLevelType w:val="multilevel"/>
    <w:tmpl w:val="DE6A38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71F33"/>
    <w:multiLevelType w:val="multilevel"/>
    <w:tmpl w:val="627C98B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7769E"/>
    <w:multiLevelType w:val="multilevel"/>
    <w:tmpl w:val="29BA2A4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32416"/>
    <w:multiLevelType w:val="hybridMultilevel"/>
    <w:tmpl w:val="E1E6D9FA"/>
    <w:lvl w:ilvl="0" w:tplc="0D745C1E">
      <w:start w:val="1"/>
      <w:numFmt w:val="bullet"/>
      <w:lvlText w:val=""/>
      <w:lvlJc w:val="left"/>
      <w:pPr>
        <w:ind w:left="720" w:hanging="360"/>
      </w:pPr>
      <w:rPr>
        <w:rFonts w:ascii="Wingdings" w:hAnsi="Wingdings" w:hint="default"/>
      </w:rPr>
    </w:lvl>
    <w:lvl w:ilvl="1" w:tplc="4E6C087A">
      <w:start w:val="1"/>
      <w:numFmt w:val="bullet"/>
      <w:lvlText w:val="o"/>
      <w:lvlJc w:val="left"/>
      <w:pPr>
        <w:ind w:left="1440" w:hanging="360"/>
      </w:pPr>
      <w:rPr>
        <w:rFonts w:ascii="Courier New" w:hAnsi="Courier New" w:hint="default"/>
      </w:rPr>
    </w:lvl>
    <w:lvl w:ilvl="2" w:tplc="91D2A11A">
      <w:start w:val="1"/>
      <w:numFmt w:val="bullet"/>
      <w:lvlText w:val=""/>
      <w:lvlJc w:val="left"/>
      <w:pPr>
        <w:ind w:left="2160" w:hanging="360"/>
      </w:pPr>
      <w:rPr>
        <w:rFonts w:ascii="Wingdings" w:hAnsi="Wingdings" w:hint="default"/>
      </w:rPr>
    </w:lvl>
    <w:lvl w:ilvl="3" w:tplc="0CD22C38">
      <w:start w:val="1"/>
      <w:numFmt w:val="bullet"/>
      <w:lvlText w:val=""/>
      <w:lvlJc w:val="left"/>
      <w:pPr>
        <w:ind w:left="2880" w:hanging="360"/>
      </w:pPr>
      <w:rPr>
        <w:rFonts w:ascii="Symbol" w:hAnsi="Symbol" w:hint="default"/>
      </w:rPr>
    </w:lvl>
    <w:lvl w:ilvl="4" w:tplc="E2464810">
      <w:start w:val="1"/>
      <w:numFmt w:val="bullet"/>
      <w:lvlText w:val="o"/>
      <w:lvlJc w:val="left"/>
      <w:pPr>
        <w:ind w:left="3600" w:hanging="360"/>
      </w:pPr>
      <w:rPr>
        <w:rFonts w:ascii="Courier New" w:hAnsi="Courier New" w:hint="default"/>
      </w:rPr>
    </w:lvl>
    <w:lvl w:ilvl="5" w:tplc="21926086">
      <w:start w:val="1"/>
      <w:numFmt w:val="bullet"/>
      <w:lvlText w:val=""/>
      <w:lvlJc w:val="left"/>
      <w:pPr>
        <w:ind w:left="4320" w:hanging="360"/>
      </w:pPr>
      <w:rPr>
        <w:rFonts w:ascii="Wingdings" w:hAnsi="Wingdings" w:hint="default"/>
      </w:rPr>
    </w:lvl>
    <w:lvl w:ilvl="6" w:tplc="83FA77B6">
      <w:start w:val="1"/>
      <w:numFmt w:val="bullet"/>
      <w:lvlText w:val=""/>
      <w:lvlJc w:val="left"/>
      <w:pPr>
        <w:ind w:left="5040" w:hanging="360"/>
      </w:pPr>
      <w:rPr>
        <w:rFonts w:ascii="Symbol" w:hAnsi="Symbol" w:hint="default"/>
      </w:rPr>
    </w:lvl>
    <w:lvl w:ilvl="7" w:tplc="04A693D8">
      <w:start w:val="1"/>
      <w:numFmt w:val="bullet"/>
      <w:lvlText w:val="o"/>
      <w:lvlJc w:val="left"/>
      <w:pPr>
        <w:ind w:left="5760" w:hanging="360"/>
      </w:pPr>
      <w:rPr>
        <w:rFonts w:ascii="Courier New" w:hAnsi="Courier New" w:hint="default"/>
      </w:rPr>
    </w:lvl>
    <w:lvl w:ilvl="8" w:tplc="4CF6CE80">
      <w:start w:val="1"/>
      <w:numFmt w:val="bullet"/>
      <w:lvlText w:val=""/>
      <w:lvlJc w:val="left"/>
      <w:pPr>
        <w:ind w:left="6480" w:hanging="360"/>
      </w:pPr>
      <w:rPr>
        <w:rFonts w:ascii="Wingdings" w:hAnsi="Wingdings" w:hint="default"/>
      </w:rPr>
    </w:lvl>
  </w:abstractNum>
  <w:abstractNum w:abstractNumId="13"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F4255"/>
    <w:multiLevelType w:val="hybridMultilevel"/>
    <w:tmpl w:val="F61C5B42"/>
    <w:lvl w:ilvl="0" w:tplc="6A6C2D56">
      <w:start w:val="1"/>
      <w:numFmt w:val="bullet"/>
      <w:lvlText w:val=""/>
      <w:lvlJc w:val="left"/>
      <w:pPr>
        <w:ind w:left="720" w:hanging="360"/>
      </w:pPr>
      <w:rPr>
        <w:rFonts w:ascii="Wingdings" w:hAnsi="Wingdings" w:hint="default"/>
      </w:rPr>
    </w:lvl>
    <w:lvl w:ilvl="1" w:tplc="B0BC98B0">
      <w:start w:val="1"/>
      <w:numFmt w:val="bullet"/>
      <w:lvlText w:val="o"/>
      <w:lvlJc w:val="left"/>
      <w:pPr>
        <w:ind w:left="1440" w:hanging="360"/>
      </w:pPr>
      <w:rPr>
        <w:rFonts w:ascii="Courier New" w:hAnsi="Courier New" w:hint="default"/>
      </w:rPr>
    </w:lvl>
    <w:lvl w:ilvl="2" w:tplc="1974D47A">
      <w:start w:val="1"/>
      <w:numFmt w:val="bullet"/>
      <w:lvlText w:val=""/>
      <w:lvlJc w:val="left"/>
      <w:pPr>
        <w:ind w:left="2160" w:hanging="360"/>
      </w:pPr>
      <w:rPr>
        <w:rFonts w:ascii="Wingdings" w:hAnsi="Wingdings" w:hint="default"/>
      </w:rPr>
    </w:lvl>
    <w:lvl w:ilvl="3" w:tplc="DE46DDB6">
      <w:start w:val="1"/>
      <w:numFmt w:val="bullet"/>
      <w:lvlText w:val=""/>
      <w:lvlJc w:val="left"/>
      <w:pPr>
        <w:ind w:left="2880" w:hanging="360"/>
      </w:pPr>
      <w:rPr>
        <w:rFonts w:ascii="Symbol" w:hAnsi="Symbol" w:hint="default"/>
      </w:rPr>
    </w:lvl>
    <w:lvl w:ilvl="4" w:tplc="2DBC09CC">
      <w:start w:val="1"/>
      <w:numFmt w:val="bullet"/>
      <w:lvlText w:val="o"/>
      <w:lvlJc w:val="left"/>
      <w:pPr>
        <w:ind w:left="3600" w:hanging="360"/>
      </w:pPr>
      <w:rPr>
        <w:rFonts w:ascii="Courier New" w:hAnsi="Courier New" w:hint="default"/>
      </w:rPr>
    </w:lvl>
    <w:lvl w:ilvl="5" w:tplc="325A22F0">
      <w:start w:val="1"/>
      <w:numFmt w:val="bullet"/>
      <w:lvlText w:val=""/>
      <w:lvlJc w:val="left"/>
      <w:pPr>
        <w:ind w:left="4320" w:hanging="360"/>
      </w:pPr>
      <w:rPr>
        <w:rFonts w:ascii="Wingdings" w:hAnsi="Wingdings" w:hint="default"/>
      </w:rPr>
    </w:lvl>
    <w:lvl w:ilvl="6" w:tplc="C2FCE952">
      <w:start w:val="1"/>
      <w:numFmt w:val="bullet"/>
      <w:lvlText w:val=""/>
      <w:lvlJc w:val="left"/>
      <w:pPr>
        <w:ind w:left="5040" w:hanging="360"/>
      </w:pPr>
      <w:rPr>
        <w:rFonts w:ascii="Symbol" w:hAnsi="Symbol" w:hint="default"/>
      </w:rPr>
    </w:lvl>
    <w:lvl w:ilvl="7" w:tplc="98C41EFC">
      <w:start w:val="1"/>
      <w:numFmt w:val="bullet"/>
      <w:lvlText w:val="o"/>
      <w:lvlJc w:val="left"/>
      <w:pPr>
        <w:ind w:left="5760" w:hanging="360"/>
      </w:pPr>
      <w:rPr>
        <w:rFonts w:ascii="Courier New" w:hAnsi="Courier New" w:hint="default"/>
      </w:rPr>
    </w:lvl>
    <w:lvl w:ilvl="8" w:tplc="014AAFBC">
      <w:start w:val="1"/>
      <w:numFmt w:val="bullet"/>
      <w:lvlText w:val=""/>
      <w:lvlJc w:val="left"/>
      <w:pPr>
        <w:ind w:left="6480" w:hanging="360"/>
      </w:pPr>
      <w:rPr>
        <w:rFonts w:ascii="Wingdings" w:hAnsi="Wingdings" w:hint="default"/>
      </w:rPr>
    </w:lvl>
  </w:abstractNum>
  <w:abstractNum w:abstractNumId="15" w15:restartNumberingAfterBreak="0">
    <w:nsid w:val="2CA624E8"/>
    <w:multiLevelType w:val="hybridMultilevel"/>
    <w:tmpl w:val="2334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53DE5"/>
    <w:multiLevelType w:val="multilevel"/>
    <w:tmpl w:val="736E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062E0"/>
    <w:multiLevelType w:val="multilevel"/>
    <w:tmpl w:val="E604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198F1"/>
    <w:multiLevelType w:val="hybridMultilevel"/>
    <w:tmpl w:val="4C3CFAB2"/>
    <w:lvl w:ilvl="0" w:tplc="224E7204">
      <w:start w:val="1"/>
      <w:numFmt w:val="bullet"/>
      <w:lvlText w:val=""/>
      <w:lvlJc w:val="left"/>
      <w:pPr>
        <w:ind w:left="720" w:hanging="360"/>
      </w:pPr>
      <w:rPr>
        <w:rFonts w:ascii="Wingdings" w:hAnsi="Wingdings" w:hint="default"/>
      </w:rPr>
    </w:lvl>
    <w:lvl w:ilvl="1" w:tplc="A83C854A">
      <w:start w:val="1"/>
      <w:numFmt w:val="bullet"/>
      <w:lvlText w:val="o"/>
      <w:lvlJc w:val="left"/>
      <w:pPr>
        <w:ind w:left="1440" w:hanging="360"/>
      </w:pPr>
      <w:rPr>
        <w:rFonts w:ascii="Courier New" w:hAnsi="Courier New" w:hint="default"/>
      </w:rPr>
    </w:lvl>
    <w:lvl w:ilvl="2" w:tplc="0A3E69C6">
      <w:start w:val="1"/>
      <w:numFmt w:val="bullet"/>
      <w:lvlText w:val=""/>
      <w:lvlJc w:val="left"/>
      <w:pPr>
        <w:ind w:left="2160" w:hanging="360"/>
      </w:pPr>
      <w:rPr>
        <w:rFonts w:ascii="Wingdings" w:hAnsi="Wingdings" w:hint="default"/>
      </w:rPr>
    </w:lvl>
    <w:lvl w:ilvl="3" w:tplc="68785C02">
      <w:start w:val="1"/>
      <w:numFmt w:val="bullet"/>
      <w:lvlText w:val=""/>
      <w:lvlJc w:val="left"/>
      <w:pPr>
        <w:ind w:left="2880" w:hanging="360"/>
      </w:pPr>
      <w:rPr>
        <w:rFonts w:ascii="Symbol" w:hAnsi="Symbol" w:hint="default"/>
      </w:rPr>
    </w:lvl>
    <w:lvl w:ilvl="4" w:tplc="34D89464">
      <w:start w:val="1"/>
      <w:numFmt w:val="bullet"/>
      <w:lvlText w:val="o"/>
      <w:lvlJc w:val="left"/>
      <w:pPr>
        <w:ind w:left="3600" w:hanging="360"/>
      </w:pPr>
      <w:rPr>
        <w:rFonts w:ascii="Courier New" w:hAnsi="Courier New" w:hint="default"/>
      </w:rPr>
    </w:lvl>
    <w:lvl w:ilvl="5" w:tplc="68E2172E">
      <w:start w:val="1"/>
      <w:numFmt w:val="bullet"/>
      <w:lvlText w:val=""/>
      <w:lvlJc w:val="left"/>
      <w:pPr>
        <w:ind w:left="4320" w:hanging="360"/>
      </w:pPr>
      <w:rPr>
        <w:rFonts w:ascii="Wingdings" w:hAnsi="Wingdings" w:hint="default"/>
      </w:rPr>
    </w:lvl>
    <w:lvl w:ilvl="6" w:tplc="C8A4BB64">
      <w:start w:val="1"/>
      <w:numFmt w:val="bullet"/>
      <w:lvlText w:val=""/>
      <w:lvlJc w:val="left"/>
      <w:pPr>
        <w:ind w:left="5040" w:hanging="360"/>
      </w:pPr>
      <w:rPr>
        <w:rFonts w:ascii="Symbol" w:hAnsi="Symbol" w:hint="default"/>
      </w:rPr>
    </w:lvl>
    <w:lvl w:ilvl="7" w:tplc="87402966">
      <w:start w:val="1"/>
      <w:numFmt w:val="bullet"/>
      <w:lvlText w:val="o"/>
      <w:lvlJc w:val="left"/>
      <w:pPr>
        <w:ind w:left="5760" w:hanging="360"/>
      </w:pPr>
      <w:rPr>
        <w:rFonts w:ascii="Courier New" w:hAnsi="Courier New" w:hint="default"/>
      </w:rPr>
    </w:lvl>
    <w:lvl w:ilvl="8" w:tplc="B238C196">
      <w:start w:val="1"/>
      <w:numFmt w:val="bullet"/>
      <w:lvlText w:val=""/>
      <w:lvlJc w:val="left"/>
      <w:pPr>
        <w:ind w:left="6480" w:hanging="360"/>
      </w:pPr>
      <w:rPr>
        <w:rFonts w:ascii="Wingdings" w:hAnsi="Wingdings" w:hint="default"/>
      </w:rPr>
    </w:lvl>
  </w:abstractNum>
  <w:abstractNum w:abstractNumId="23"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A215D"/>
    <w:multiLevelType w:val="multilevel"/>
    <w:tmpl w:val="37FAE48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87357"/>
    <w:multiLevelType w:val="multilevel"/>
    <w:tmpl w:val="4ABEB6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647BD"/>
    <w:multiLevelType w:val="multilevel"/>
    <w:tmpl w:val="E020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4A342"/>
    <w:multiLevelType w:val="hybridMultilevel"/>
    <w:tmpl w:val="E9226E0C"/>
    <w:lvl w:ilvl="0" w:tplc="28665AD8">
      <w:start w:val="1"/>
      <w:numFmt w:val="bullet"/>
      <w:lvlText w:val=""/>
      <w:lvlJc w:val="left"/>
      <w:pPr>
        <w:ind w:left="720" w:hanging="360"/>
      </w:pPr>
      <w:rPr>
        <w:rFonts w:ascii="Wingdings" w:hAnsi="Wingdings" w:hint="default"/>
      </w:rPr>
    </w:lvl>
    <w:lvl w:ilvl="1" w:tplc="950C524E">
      <w:start w:val="1"/>
      <w:numFmt w:val="bullet"/>
      <w:lvlText w:val="o"/>
      <w:lvlJc w:val="left"/>
      <w:pPr>
        <w:ind w:left="1440" w:hanging="360"/>
      </w:pPr>
      <w:rPr>
        <w:rFonts w:ascii="Courier New" w:hAnsi="Courier New" w:hint="default"/>
      </w:rPr>
    </w:lvl>
    <w:lvl w:ilvl="2" w:tplc="E5105218">
      <w:start w:val="1"/>
      <w:numFmt w:val="bullet"/>
      <w:lvlText w:val=""/>
      <w:lvlJc w:val="left"/>
      <w:pPr>
        <w:ind w:left="2160" w:hanging="360"/>
      </w:pPr>
      <w:rPr>
        <w:rFonts w:ascii="Wingdings" w:hAnsi="Wingdings" w:hint="default"/>
      </w:rPr>
    </w:lvl>
    <w:lvl w:ilvl="3" w:tplc="D724197A">
      <w:start w:val="1"/>
      <w:numFmt w:val="bullet"/>
      <w:lvlText w:val=""/>
      <w:lvlJc w:val="left"/>
      <w:pPr>
        <w:ind w:left="2880" w:hanging="360"/>
      </w:pPr>
      <w:rPr>
        <w:rFonts w:ascii="Symbol" w:hAnsi="Symbol" w:hint="default"/>
      </w:rPr>
    </w:lvl>
    <w:lvl w:ilvl="4" w:tplc="9C34DE1E">
      <w:start w:val="1"/>
      <w:numFmt w:val="bullet"/>
      <w:lvlText w:val="o"/>
      <w:lvlJc w:val="left"/>
      <w:pPr>
        <w:ind w:left="3600" w:hanging="360"/>
      </w:pPr>
      <w:rPr>
        <w:rFonts w:ascii="Courier New" w:hAnsi="Courier New" w:hint="default"/>
      </w:rPr>
    </w:lvl>
    <w:lvl w:ilvl="5" w:tplc="A6DE135C">
      <w:start w:val="1"/>
      <w:numFmt w:val="bullet"/>
      <w:lvlText w:val=""/>
      <w:lvlJc w:val="left"/>
      <w:pPr>
        <w:ind w:left="4320" w:hanging="360"/>
      </w:pPr>
      <w:rPr>
        <w:rFonts w:ascii="Wingdings" w:hAnsi="Wingdings" w:hint="default"/>
      </w:rPr>
    </w:lvl>
    <w:lvl w:ilvl="6" w:tplc="36A23262">
      <w:start w:val="1"/>
      <w:numFmt w:val="bullet"/>
      <w:lvlText w:val=""/>
      <w:lvlJc w:val="left"/>
      <w:pPr>
        <w:ind w:left="5040" w:hanging="360"/>
      </w:pPr>
      <w:rPr>
        <w:rFonts w:ascii="Symbol" w:hAnsi="Symbol" w:hint="default"/>
      </w:rPr>
    </w:lvl>
    <w:lvl w:ilvl="7" w:tplc="647434D8">
      <w:start w:val="1"/>
      <w:numFmt w:val="bullet"/>
      <w:lvlText w:val="o"/>
      <w:lvlJc w:val="left"/>
      <w:pPr>
        <w:ind w:left="5760" w:hanging="360"/>
      </w:pPr>
      <w:rPr>
        <w:rFonts w:ascii="Courier New" w:hAnsi="Courier New" w:hint="default"/>
      </w:rPr>
    </w:lvl>
    <w:lvl w:ilvl="8" w:tplc="9F7E3F96">
      <w:start w:val="1"/>
      <w:numFmt w:val="bullet"/>
      <w:lvlText w:val=""/>
      <w:lvlJc w:val="left"/>
      <w:pPr>
        <w:ind w:left="6480" w:hanging="360"/>
      </w:pPr>
      <w:rPr>
        <w:rFonts w:ascii="Wingdings" w:hAnsi="Wingdings" w:hint="default"/>
      </w:rPr>
    </w:lvl>
  </w:abstractNum>
  <w:abstractNum w:abstractNumId="28"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8066C6"/>
    <w:multiLevelType w:val="multilevel"/>
    <w:tmpl w:val="31FC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144E5E"/>
    <w:multiLevelType w:val="multilevel"/>
    <w:tmpl w:val="215E6C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FCEB0"/>
    <w:multiLevelType w:val="hybridMultilevel"/>
    <w:tmpl w:val="4AA04AB2"/>
    <w:lvl w:ilvl="0" w:tplc="E4CA9DFC">
      <w:start w:val="1"/>
      <w:numFmt w:val="bullet"/>
      <w:lvlText w:val=""/>
      <w:lvlJc w:val="left"/>
      <w:pPr>
        <w:ind w:left="720" w:hanging="360"/>
      </w:pPr>
      <w:rPr>
        <w:rFonts w:ascii="Wingdings" w:hAnsi="Wingdings" w:hint="default"/>
      </w:rPr>
    </w:lvl>
    <w:lvl w:ilvl="1" w:tplc="3B941864">
      <w:start w:val="1"/>
      <w:numFmt w:val="bullet"/>
      <w:lvlText w:val="o"/>
      <w:lvlJc w:val="left"/>
      <w:pPr>
        <w:ind w:left="1440" w:hanging="360"/>
      </w:pPr>
      <w:rPr>
        <w:rFonts w:ascii="Courier New" w:hAnsi="Courier New" w:hint="default"/>
      </w:rPr>
    </w:lvl>
    <w:lvl w:ilvl="2" w:tplc="FB604C40">
      <w:start w:val="1"/>
      <w:numFmt w:val="bullet"/>
      <w:lvlText w:val=""/>
      <w:lvlJc w:val="left"/>
      <w:pPr>
        <w:ind w:left="2160" w:hanging="360"/>
      </w:pPr>
      <w:rPr>
        <w:rFonts w:ascii="Wingdings" w:hAnsi="Wingdings" w:hint="default"/>
      </w:rPr>
    </w:lvl>
    <w:lvl w:ilvl="3" w:tplc="C5AABA68">
      <w:start w:val="1"/>
      <w:numFmt w:val="bullet"/>
      <w:lvlText w:val=""/>
      <w:lvlJc w:val="left"/>
      <w:pPr>
        <w:ind w:left="2880" w:hanging="360"/>
      </w:pPr>
      <w:rPr>
        <w:rFonts w:ascii="Symbol" w:hAnsi="Symbol" w:hint="default"/>
      </w:rPr>
    </w:lvl>
    <w:lvl w:ilvl="4" w:tplc="D252435C">
      <w:start w:val="1"/>
      <w:numFmt w:val="bullet"/>
      <w:lvlText w:val="o"/>
      <w:lvlJc w:val="left"/>
      <w:pPr>
        <w:ind w:left="3600" w:hanging="360"/>
      </w:pPr>
      <w:rPr>
        <w:rFonts w:ascii="Courier New" w:hAnsi="Courier New" w:hint="default"/>
      </w:rPr>
    </w:lvl>
    <w:lvl w:ilvl="5" w:tplc="74EA93B0">
      <w:start w:val="1"/>
      <w:numFmt w:val="bullet"/>
      <w:lvlText w:val=""/>
      <w:lvlJc w:val="left"/>
      <w:pPr>
        <w:ind w:left="4320" w:hanging="360"/>
      </w:pPr>
      <w:rPr>
        <w:rFonts w:ascii="Wingdings" w:hAnsi="Wingdings" w:hint="default"/>
      </w:rPr>
    </w:lvl>
    <w:lvl w:ilvl="6" w:tplc="4FC0FFF8">
      <w:start w:val="1"/>
      <w:numFmt w:val="bullet"/>
      <w:lvlText w:val=""/>
      <w:lvlJc w:val="left"/>
      <w:pPr>
        <w:ind w:left="5040" w:hanging="360"/>
      </w:pPr>
      <w:rPr>
        <w:rFonts w:ascii="Symbol" w:hAnsi="Symbol" w:hint="default"/>
      </w:rPr>
    </w:lvl>
    <w:lvl w:ilvl="7" w:tplc="96EA1DC0">
      <w:start w:val="1"/>
      <w:numFmt w:val="bullet"/>
      <w:lvlText w:val="o"/>
      <w:lvlJc w:val="left"/>
      <w:pPr>
        <w:ind w:left="5760" w:hanging="360"/>
      </w:pPr>
      <w:rPr>
        <w:rFonts w:ascii="Courier New" w:hAnsi="Courier New" w:hint="default"/>
      </w:rPr>
    </w:lvl>
    <w:lvl w:ilvl="8" w:tplc="AB2E8ECA">
      <w:start w:val="1"/>
      <w:numFmt w:val="bullet"/>
      <w:lvlText w:val=""/>
      <w:lvlJc w:val="left"/>
      <w:pPr>
        <w:ind w:left="6480" w:hanging="360"/>
      </w:pPr>
      <w:rPr>
        <w:rFonts w:ascii="Wingdings" w:hAnsi="Wingdings" w:hint="default"/>
      </w:rPr>
    </w:lvl>
  </w:abstractNum>
  <w:num w:numId="1" w16cid:durableId="1715346668">
    <w:abstractNumId w:val="27"/>
  </w:num>
  <w:num w:numId="2" w16cid:durableId="1583028404">
    <w:abstractNumId w:val="22"/>
  </w:num>
  <w:num w:numId="3" w16cid:durableId="410589298">
    <w:abstractNumId w:val="14"/>
  </w:num>
  <w:num w:numId="4" w16cid:durableId="558829612">
    <w:abstractNumId w:val="33"/>
  </w:num>
  <w:num w:numId="5" w16cid:durableId="456414356">
    <w:abstractNumId w:val="2"/>
  </w:num>
  <w:num w:numId="6" w16cid:durableId="1822036952">
    <w:abstractNumId w:val="12"/>
  </w:num>
  <w:num w:numId="7" w16cid:durableId="1474565309">
    <w:abstractNumId w:val="8"/>
  </w:num>
  <w:num w:numId="8" w16cid:durableId="1132794354">
    <w:abstractNumId w:val="19"/>
  </w:num>
  <w:num w:numId="9" w16cid:durableId="728188386">
    <w:abstractNumId w:val="23"/>
  </w:num>
  <w:num w:numId="10" w16cid:durableId="1575814737">
    <w:abstractNumId w:val="0"/>
  </w:num>
  <w:num w:numId="11" w16cid:durableId="1039745174">
    <w:abstractNumId w:val="29"/>
  </w:num>
  <w:num w:numId="12" w16cid:durableId="1717780580">
    <w:abstractNumId w:val="30"/>
  </w:num>
  <w:num w:numId="13" w16cid:durableId="826936797">
    <w:abstractNumId w:val="5"/>
  </w:num>
  <w:num w:numId="14" w16cid:durableId="498235478">
    <w:abstractNumId w:val="20"/>
  </w:num>
  <w:num w:numId="15" w16cid:durableId="2140562146">
    <w:abstractNumId w:val="16"/>
  </w:num>
  <w:num w:numId="16" w16cid:durableId="1229654619">
    <w:abstractNumId w:val="4"/>
  </w:num>
  <w:num w:numId="17" w16cid:durableId="2009944014">
    <w:abstractNumId w:val="28"/>
  </w:num>
  <w:num w:numId="18" w16cid:durableId="325136237">
    <w:abstractNumId w:val="11"/>
  </w:num>
  <w:num w:numId="19" w16cid:durableId="916591837">
    <w:abstractNumId w:val="13"/>
  </w:num>
  <w:num w:numId="20" w16cid:durableId="1740010906">
    <w:abstractNumId w:val="17"/>
  </w:num>
  <w:num w:numId="21" w16cid:durableId="1202134868">
    <w:abstractNumId w:val="1"/>
  </w:num>
  <w:num w:numId="22" w16cid:durableId="1711881594">
    <w:abstractNumId w:val="15"/>
  </w:num>
  <w:num w:numId="23" w16cid:durableId="391537891">
    <w:abstractNumId w:val="6"/>
  </w:num>
  <w:num w:numId="24" w16cid:durableId="84301584">
    <w:abstractNumId w:val="26"/>
  </w:num>
  <w:num w:numId="25" w16cid:durableId="1531382195">
    <w:abstractNumId w:val="18"/>
  </w:num>
  <w:num w:numId="26" w16cid:durableId="1194876991">
    <w:abstractNumId w:val="21"/>
  </w:num>
  <w:num w:numId="27" w16cid:durableId="759326830">
    <w:abstractNumId w:val="24"/>
  </w:num>
  <w:num w:numId="28" w16cid:durableId="664745590">
    <w:abstractNumId w:val="32"/>
  </w:num>
  <w:num w:numId="29" w16cid:durableId="2089962049">
    <w:abstractNumId w:val="7"/>
  </w:num>
  <w:num w:numId="30" w16cid:durableId="2004507153">
    <w:abstractNumId w:val="31"/>
  </w:num>
  <w:num w:numId="31" w16cid:durableId="1793401107">
    <w:abstractNumId w:val="10"/>
  </w:num>
  <w:num w:numId="32" w16cid:durableId="1821731261">
    <w:abstractNumId w:val="3"/>
  </w:num>
  <w:num w:numId="33" w16cid:durableId="471949426">
    <w:abstractNumId w:val="9"/>
  </w:num>
  <w:num w:numId="34" w16cid:durableId="821774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25DC9"/>
    <w:rsid w:val="00035B6D"/>
    <w:rsid w:val="0005006D"/>
    <w:rsid w:val="00052D32"/>
    <w:rsid w:val="00064C02"/>
    <w:rsid w:val="0006579F"/>
    <w:rsid w:val="00067C31"/>
    <w:rsid w:val="00091D37"/>
    <w:rsid w:val="000A3374"/>
    <w:rsid w:val="000B553D"/>
    <w:rsid w:val="000D46CA"/>
    <w:rsid w:val="000D5864"/>
    <w:rsid w:val="000E14A8"/>
    <w:rsid w:val="000E7777"/>
    <w:rsid w:val="000F6054"/>
    <w:rsid w:val="00100B18"/>
    <w:rsid w:val="0010108A"/>
    <w:rsid w:val="00106832"/>
    <w:rsid w:val="00107BEC"/>
    <w:rsid w:val="001134A2"/>
    <w:rsid w:val="00115130"/>
    <w:rsid w:val="00117A71"/>
    <w:rsid w:val="00123640"/>
    <w:rsid w:val="001242E7"/>
    <w:rsid w:val="001275B3"/>
    <w:rsid w:val="001342BC"/>
    <w:rsid w:val="00140EC8"/>
    <w:rsid w:val="0016007A"/>
    <w:rsid w:val="00162560"/>
    <w:rsid w:val="00162BF2"/>
    <w:rsid w:val="001752BC"/>
    <w:rsid w:val="00176192"/>
    <w:rsid w:val="00187B44"/>
    <w:rsid w:val="0019695D"/>
    <w:rsid w:val="001A1DDC"/>
    <w:rsid w:val="001A3D40"/>
    <w:rsid w:val="001A516F"/>
    <w:rsid w:val="001A5A24"/>
    <w:rsid w:val="001B3916"/>
    <w:rsid w:val="001B63D2"/>
    <w:rsid w:val="001C6B85"/>
    <w:rsid w:val="001C6EDC"/>
    <w:rsid w:val="001D35A1"/>
    <w:rsid w:val="001E4E7D"/>
    <w:rsid w:val="001F0AB9"/>
    <w:rsid w:val="001F216C"/>
    <w:rsid w:val="001F27E9"/>
    <w:rsid w:val="00202768"/>
    <w:rsid w:val="002078A2"/>
    <w:rsid w:val="00207F2D"/>
    <w:rsid w:val="00210F38"/>
    <w:rsid w:val="00211005"/>
    <w:rsid w:val="002201C9"/>
    <w:rsid w:val="0022245C"/>
    <w:rsid w:val="00225373"/>
    <w:rsid w:val="00233551"/>
    <w:rsid w:val="00246263"/>
    <w:rsid w:val="002679DC"/>
    <w:rsid w:val="002975E9"/>
    <w:rsid w:val="00297E06"/>
    <w:rsid w:val="002A0E68"/>
    <w:rsid w:val="002A6268"/>
    <w:rsid w:val="002D6C90"/>
    <w:rsid w:val="002D7645"/>
    <w:rsid w:val="002E0090"/>
    <w:rsid w:val="002E0F43"/>
    <w:rsid w:val="002E1F46"/>
    <w:rsid w:val="002E2934"/>
    <w:rsid w:val="002E38BE"/>
    <w:rsid w:val="002F1CCD"/>
    <w:rsid w:val="00301BD1"/>
    <w:rsid w:val="00316A8E"/>
    <w:rsid w:val="0032065E"/>
    <w:rsid w:val="00322F3B"/>
    <w:rsid w:val="003402F5"/>
    <w:rsid w:val="00341346"/>
    <w:rsid w:val="0034235F"/>
    <w:rsid w:val="003470C3"/>
    <w:rsid w:val="00353BB1"/>
    <w:rsid w:val="003560DA"/>
    <w:rsid w:val="00356FE9"/>
    <w:rsid w:val="00357125"/>
    <w:rsid w:val="00362CF7"/>
    <w:rsid w:val="00386517"/>
    <w:rsid w:val="00386D2F"/>
    <w:rsid w:val="003909C6"/>
    <w:rsid w:val="0039250C"/>
    <w:rsid w:val="003A4267"/>
    <w:rsid w:val="003A4AE0"/>
    <w:rsid w:val="003B17C9"/>
    <w:rsid w:val="003B511D"/>
    <w:rsid w:val="003B5ADC"/>
    <w:rsid w:val="003D35BB"/>
    <w:rsid w:val="003D4C19"/>
    <w:rsid w:val="003F4A47"/>
    <w:rsid w:val="003F7001"/>
    <w:rsid w:val="00400ED0"/>
    <w:rsid w:val="0040185B"/>
    <w:rsid w:val="004061D8"/>
    <w:rsid w:val="00411E0B"/>
    <w:rsid w:val="00421B1B"/>
    <w:rsid w:val="00422BBD"/>
    <w:rsid w:val="0042692F"/>
    <w:rsid w:val="004305D7"/>
    <w:rsid w:val="00431D93"/>
    <w:rsid w:val="004378AE"/>
    <w:rsid w:val="00437C88"/>
    <w:rsid w:val="0044219F"/>
    <w:rsid w:val="0044255D"/>
    <w:rsid w:val="004426A8"/>
    <w:rsid w:val="00446290"/>
    <w:rsid w:val="004501F9"/>
    <w:rsid w:val="00452840"/>
    <w:rsid w:val="004532BF"/>
    <w:rsid w:val="00466D79"/>
    <w:rsid w:val="00471E79"/>
    <w:rsid w:val="004752F7"/>
    <w:rsid w:val="004773BD"/>
    <w:rsid w:val="004813C1"/>
    <w:rsid w:val="00487EB2"/>
    <w:rsid w:val="00491C0D"/>
    <w:rsid w:val="004969F0"/>
    <w:rsid w:val="004A6AFF"/>
    <w:rsid w:val="004A7763"/>
    <w:rsid w:val="004B569C"/>
    <w:rsid w:val="004B7653"/>
    <w:rsid w:val="004C4940"/>
    <w:rsid w:val="004C6825"/>
    <w:rsid w:val="004C73FC"/>
    <w:rsid w:val="004E03F6"/>
    <w:rsid w:val="004E4B93"/>
    <w:rsid w:val="004F6136"/>
    <w:rsid w:val="005068A5"/>
    <w:rsid w:val="00522299"/>
    <w:rsid w:val="005319F5"/>
    <w:rsid w:val="0053284E"/>
    <w:rsid w:val="00537779"/>
    <w:rsid w:val="00550E72"/>
    <w:rsid w:val="005571C8"/>
    <w:rsid w:val="005579F8"/>
    <w:rsid w:val="00564455"/>
    <w:rsid w:val="005756EE"/>
    <w:rsid w:val="00577560"/>
    <w:rsid w:val="00583034"/>
    <w:rsid w:val="005834B2"/>
    <w:rsid w:val="0058420C"/>
    <w:rsid w:val="0059253D"/>
    <w:rsid w:val="005C59EA"/>
    <w:rsid w:val="005D0E53"/>
    <w:rsid w:val="005D36DE"/>
    <w:rsid w:val="005E17C3"/>
    <w:rsid w:val="006020C4"/>
    <w:rsid w:val="006072A8"/>
    <w:rsid w:val="00607798"/>
    <w:rsid w:val="00640106"/>
    <w:rsid w:val="006471DD"/>
    <w:rsid w:val="006478B2"/>
    <w:rsid w:val="006532C2"/>
    <w:rsid w:val="00654EB5"/>
    <w:rsid w:val="00655D94"/>
    <w:rsid w:val="00656140"/>
    <w:rsid w:val="00660A43"/>
    <w:rsid w:val="00661577"/>
    <w:rsid w:val="00664A63"/>
    <w:rsid w:val="00670330"/>
    <w:rsid w:val="00677D88"/>
    <w:rsid w:val="00681667"/>
    <w:rsid w:val="00684754"/>
    <w:rsid w:val="00691275"/>
    <w:rsid w:val="006920DA"/>
    <w:rsid w:val="0069261B"/>
    <w:rsid w:val="006B769C"/>
    <w:rsid w:val="006C4889"/>
    <w:rsid w:val="006C6A32"/>
    <w:rsid w:val="006D4523"/>
    <w:rsid w:val="007073A3"/>
    <w:rsid w:val="007075CB"/>
    <w:rsid w:val="0071075F"/>
    <w:rsid w:val="0071101B"/>
    <w:rsid w:val="0071586C"/>
    <w:rsid w:val="00732165"/>
    <w:rsid w:val="00732575"/>
    <w:rsid w:val="00732595"/>
    <w:rsid w:val="00732783"/>
    <w:rsid w:val="00737297"/>
    <w:rsid w:val="00743DB8"/>
    <w:rsid w:val="00745408"/>
    <w:rsid w:val="00747531"/>
    <w:rsid w:val="00750B8F"/>
    <w:rsid w:val="0075112A"/>
    <w:rsid w:val="00755D5D"/>
    <w:rsid w:val="007575EC"/>
    <w:rsid w:val="007718A5"/>
    <w:rsid w:val="007753FB"/>
    <w:rsid w:val="00780068"/>
    <w:rsid w:val="00782CAE"/>
    <w:rsid w:val="0078369E"/>
    <w:rsid w:val="007A5192"/>
    <w:rsid w:val="007C248E"/>
    <w:rsid w:val="007C5D47"/>
    <w:rsid w:val="007E4287"/>
    <w:rsid w:val="007F75CF"/>
    <w:rsid w:val="007F7D0A"/>
    <w:rsid w:val="00813668"/>
    <w:rsid w:val="008228D8"/>
    <w:rsid w:val="00825BCE"/>
    <w:rsid w:val="00826854"/>
    <w:rsid w:val="00834851"/>
    <w:rsid w:val="00836110"/>
    <w:rsid w:val="008516F4"/>
    <w:rsid w:val="008545C5"/>
    <w:rsid w:val="00860040"/>
    <w:rsid w:val="00863E91"/>
    <w:rsid w:val="00867864"/>
    <w:rsid w:val="0089085B"/>
    <w:rsid w:val="0089174B"/>
    <w:rsid w:val="00892B48"/>
    <w:rsid w:val="008A1A4B"/>
    <w:rsid w:val="008B16C7"/>
    <w:rsid w:val="008C6E09"/>
    <w:rsid w:val="008E0065"/>
    <w:rsid w:val="008E264D"/>
    <w:rsid w:val="008E5A4B"/>
    <w:rsid w:val="008F1189"/>
    <w:rsid w:val="008F72F1"/>
    <w:rsid w:val="00900736"/>
    <w:rsid w:val="009042AA"/>
    <w:rsid w:val="009049E2"/>
    <w:rsid w:val="00913DEF"/>
    <w:rsid w:val="009142DC"/>
    <w:rsid w:val="00921AAD"/>
    <w:rsid w:val="00922B8A"/>
    <w:rsid w:val="00926593"/>
    <w:rsid w:val="00931E25"/>
    <w:rsid w:val="009369DB"/>
    <w:rsid w:val="00942D1C"/>
    <w:rsid w:val="0094558A"/>
    <w:rsid w:val="0095196E"/>
    <w:rsid w:val="009615E3"/>
    <w:rsid w:val="00963F9C"/>
    <w:rsid w:val="00967786"/>
    <w:rsid w:val="009700DF"/>
    <w:rsid w:val="009722CD"/>
    <w:rsid w:val="009842A2"/>
    <w:rsid w:val="00993474"/>
    <w:rsid w:val="00997929"/>
    <w:rsid w:val="009A10A2"/>
    <w:rsid w:val="009A4942"/>
    <w:rsid w:val="009A7473"/>
    <w:rsid w:val="009C0EA8"/>
    <w:rsid w:val="009D05E8"/>
    <w:rsid w:val="009D7C0D"/>
    <w:rsid w:val="009E6160"/>
    <w:rsid w:val="009E6A8A"/>
    <w:rsid w:val="009E72BB"/>
    <w:rsid w:val="009F2AE9"/>
    <w:rsid w:val="009F5962"/>
    <w:rsid w:val="009F6125"/>
    <w:rsid w:val="00A0250F"/>
    <w:rsid w:val="00A03AFA"/>
    <w:rsid w:val="00A03B31"/>
    <w:rsid w:val="00A0639E"/>
    <w:rsid w:val="00A11875"/>
    <w:rsid w:val="00A146BB"/>
    <w:rsid w:val="00A336C1"/>
    <w:rsid w:val="00A33E67"/>
    <w:rsid w:val="00A41A13"/>
    <w:rsid w:val="00A44961"/>
    <w:rsid w:val="00A607CF"/>
    <w:rsid w:val="00A66E91"/>
    <w:rsid w:val="00A77C83"/>
    <w:rsid w:val="00A81F92"/>
    <w:rsid w:val="00AA055F"/>
    <w:rsid w:val="00AA3BDD"/>
    <w:rsid w:val="00AB1A82"/>
    <w:rsid w:val="00AB4551"/>
    <w:rsid w:val="00AB7348"/>
    <w:rsid w:val="00AB7BA7"/>
    <w:rsid w:val="00AC12C7"/>
    <w:rsid w:val="00AC2873"/>
    <w:rsid w:val="00AC326B"/>
    <w:rsid w:val="00AC6359"/>
    <w:rsid w:val="00AD5D0F"/>
    <w:rsid w:val="00AE0685"/>
    <w:rsid w:val="00AE5FA8"/>
    <w:rsid w:val="00AF3F8E"/>
    <w:rsid w:val="00AF5C23"/>
    <w:rsid w:val="00AF7556"/>
    <w:rsid w:val="00B01006"/>
    <w:rsid w:val="00B22E5D"/>
    <w:rsid w:val="00B25C4A"/>
    <w:rsid w:val="00B27BDA"/>
    <w:rsid w:val="00B36ED0"/>
    <w:rsid w:val="00B441D4"/>
    <w:rsid w:val="00B46FBF"/>
    <w:rsid w:val="00B53EBB"/>
    <w:rsid w:val="00B649AF"/>
    <w:rsid w:val="00B65FD3"/>
    <w:rsid w:val="00B71866"/>
    <w:rsid w:val="00B718D6"/>
    <w:rsid w:val="00B74D1D"/>
    <w:rsid w:val="00B813D1"/>
    <w:rsid w:val="00B81FE7"/>
    <w:rsid w:val="00B84B42"/>
    <w:rsid w:val="00B87464"/>
    <w:rsid w:val="00B87581"/>
    <w:rsid w:val="00B9238F"/>
    <w:rsid w:val="00B923A8"/>
    <w:rsid w:val="00B929C6"/>
    <w:rsid w:val="00BA2D03"/>
    <w:rsid w:val="00BA2E53"/>
    <w:rsid w:val="00BA3B57"/>
    <w:rsid w:val="00BB0F7C"/>
    <w:rsid w:val="00BB194E"/>
    <w:rsid w:val="00BC3723"/>
    <w:rsid w:val="00BC569C"/>
    <w:rsid w:val="00BD0620"/>
    <w:rsid w:val="00BD5EC2"/>
    <w:rsid w:val="00BE43EA"/>
    <w:rsid w:val="00BE63A2"/>
    <w:rsid w:val="00BF26EC"/>
    <w:rsid w:val="00BF3FE7"/>
    <w:rsid w:val="00C1383A"/>
    <w:rsid w:val="00C26AA5"/>
    <w:rsid w:val="00C34589"/>
    <w:rsid w:val="00C43F6C"/>
    <w:rsid w:val="00C533C3"/>
    <w:rsid w:val="00C57EDA"/>
    <w:rsid w:val="00C64913"/>
    <w:rsid w:val="00C664C0"/>
    <w:rsid w:val="00C71197"/>
    <w:rsid w:val="00C82523"/>
    <w:rsid w:val="00C94FBF"/>
    <w:rsid w:val="00CA1FA6"/>
    <w:rsid w:val="00CA3A87"/>
    <w:rsid w:val="00CB5A52"/>
    <w:rsid w:val="00CB6610"/>
    <w:rsid w:val="00CD614C"/>
    <w:rsid w:val="00CE4908"/>
    <w:rsid w:val="00CF2542"/>
    <w:rsid w:val="00CF75CA"/>
    <w:rsid w:val="00D0659A"/>
    <w:rsid w:val="00D12135"/>
    <w:rsid w:val="00D144C8"/>
    <w:rsid w:val="00D16800"/>
    <w:rsid w:val="00D25274"/>
    <w:rsid w:val="00D426A1"/>
    <w:rsid w:val="00D462C8"/>
    <w:rsid w:val="00D5396C"/>
    <w:rsid w:val="00D55049"/>
    <w:rsid w:val="00D60C8E"/>
    <w:rsid w:val="00D63D1A"/>
    <w:rsid w:val="00D74B7B"/>
    <w:rsid w:val="00D850F7"/>
    <w:rsid w:val="00D9092E"/>
    <w:rsid w:val="00DA142F"/>
    <w:rsid w:val="00DA7696"/>
    <w:rsid w:val="00DB1214"/>
    <w:rsid w:val="00DB7FF9"/>
    <w:rsid w:val="00DC72E7"/>
    <w:rsid w:val="00DD3F56"/>
    <w:rsid w:val="00E01DFF"/>
    <w:rsid w:val="00E03E77"/>
    <w:rsid w:val="00E06212"/>
    <w:rsid w:val="00E078A9"/>
    <w:rsid w:val="00E10CB5"/>
    <w:rsid w:val="00E13623"/>
    <w:rsid w:val="00E15743"/>
    <w:rsid w:val="00E2440D"/>
    <w:rsid w:val="00E3175D"/>
    <w:rsid w:val="00E317F5"/>
    <w:rsid w:val="00E40EF2"/>
    <w:rsid w:val="00E47564"/>
    <w:rsid w:val="00E50379"/>
    <w:rsid w:val="00E5311F"/>
    <w:rsid w:val="00E60C12"/>
    <w:rsid w:val="00E632BF"/>
    <w:rsid w:val="00E709EF"/>
    <w:rsid w:val="00E72F60"/>
    <w:rsid w:val="00E81F24"/>
    <w:rsid w:val="00E86D64"/>
    <w:rsid w:val="00E92BEC"/>
    <w:rsid w:val="00EA1683"/>
    <w:rsid w:val="00EA2AF6"/>
    <w:rsid w:val="00EA4318"/>
    <w:rsid w:val="00EB6A79"/>
    <w:rsid w:val="00EC4D9D"/>
    <w:rsid w:val="00ED2D97"/>
    <w:rsid w:val="00ED7147"/>
    <w:rsid w:val="00EE13EE"/>
    <w:rsid w:val="00EF0D2D"/>
    <w:rsid w:val="00EF4188"/>
    <w:rsid w:val="00F02F57"/>
    <w:rsid w:val="00F0303E"/>
    <w:rsid w:val="00F10991"/>
    <w:rsid w:val="00F10B73"/>
    <w:rsid w:val="00F16C18"/>
    <w:rsid w:val="00F17439"/>
    <w:rsid w:val="00F231B8"/>
    <w:rsid w:val="00F2517B"/>
    <w:rsid w:val="00F33DB6"/>
    <w:rsid w:val="00F362D5"/>
    <w:rsid w:val="00F379FA"/>
    <w:rsid w:val="00F5492E"/>
    <w:rsid w:val="00F575C2"/>
    <w:rsid w:val="00F61212"/>
    <w:rsid w:val="00F6515F"/>
    <w:rsid w:val="00F6675E"/>
    <w:rsid w:val="00F67BB4"/>
    <w:rsid w:val="00F73BE7"/>
    <w:rsid w:val="00F740A3"/>
    <w:rsid w:val="00F83E68"/>
    <w:rsid w:val="00F9155F"/>
    <w:rsid w:val="00F91A4A"/>
    <w:rsid w:val="00FA1A2C"/>
    <w:rsid w:val="00FA4B22"/>
    <w:rsid w:val="00FA5A8A"/>
    <w:rsid w:val="00FA6D31"/>
    <w:rsid w:val="00FB1755"/>
    <w:rsid w:val="00FC1886"/>
    <w:rsid w:val="00FC40B1"/>
    <w:rsid w:val="00FD1005"/>
    <w:rsid w:val="00FD78D5"/>
    <w:rsid w:val="00FE398A"/>
    <w:rsid w:val="00FE43B2"/>
    <w:rsid w:val="00FF69A3"/>
    <w:rsid w:val="0618DD21"/>
    <w:rsid w:val="0CF21AC0"/>
    <w:rsid w:val="0DAEA983"/>
    <w:rsid w:val="0E1F1782"/>
    <w:rsid w:val="12CD8D2A"/>
    <w:rsid w:val="13702BFB"/>
    <w:rsid w:val="18702331"/>
    <w:rsid w:val="187855E1"/>
    <w:rsid w:val="1D75E0F3"/>
    <w:rsid w:val="1DACA93A"/>
    <w:rsid w:val="24916D2B"/>
    <w:rsid w:val="26CF7A94"/>
    <w:rsid w:val="27B982EB"/>
    <w:rsid w:val="27DAEB8D"/>
    <w:rsid w:val="30E700BF"/>
    <w:rsid w:val="3261828D"/>
    <w:rsid w:val="33E05484"/>
    <w:rsid w:val="36F20DCB"/>
    <w:rsid w:val="3C00690D"/>
    <w:rsid w:val="41F1D31B"/>
    <w:rsid w:val="43CE7CB4"/>
    <w:rsid w:val="48186C1F"/>
    <w:rsid w:val="4EFACABB"/>
    <w:rsid w:val="4F2D00E2"/>
    <w:rsid w:val="5237F8B9"/>
    <w:rsid w:val="529B7704"/>
    <w:rsid w:val="53ADD197"/>
    <w:rsid w:val="54B5C409"/>
    <w:rsid w:val="55A6B727"/>
    <w:rsid w:val="5F4E57AA"/>
    <w:rsid w:val="627082C3"/>
    <w:rsid w:val="651D124D"/>
    <w:rsid w:val="68AED4C0"/>
    <w:rsid w:val="6BFE1BB9"/>
    <w:rsid w:val="720753B4"/>
    <w:rsid w:val="74425222"/>
    <w:rsid w:val="74811A1E"/>
    <w:rsid w:val="78DBE9C9"/>
    <w:rsid w:val="7E05D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81129">
      <w:bodyDiv w:val="1"/>
      <w:marLeft w:val="0"/>
      <w:marRight w:val="0"/>
      <w:marTop w:val="0"/>
      <w:marBottom w:val="0"/>
      <w:divBdr>
        <w:top w:val="none" w:sz="0" w:space="0" w:color="auto"/>
        <w:left w:val="none" w:sz="0" w:space="0" w:color="auto"/>
        <w:bottom w:val="none" w:sz="0" w:space="0" w:color="auto"/>
        <w:right w:val="none" w:sz="0" w:space="0" w:color="auto"/>
      </w:divBdr>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 w:id="18571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ACSMWRDU6V4E-1547958708-23133</_dlc_DocId>
    <_dlc_DocIdUrl xmlns="36c5a74b-ca8f-45dc-ac91-caf647a9506b">
      <Url>https://imgroupltd.sharepoint.com/sites/GraceFoundationDocumentCenter/_layouts/15/DocIdRedir.aspx?ID=ACSMWRDU6V4E-1547958708-23133</Url>
      <Description>ACSMWRDU6V4E-1547958708-23133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9795B5-67DF-4AEA-BA2A-E93D6589CAFB}"/>
</file>

<file path=customXml/itemProps2.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3.xml><?xml version="1.0" encoding="utf-8"?>
<ds:datastoreItem xmlns:ds="http://schemas.openxmlformats.org/officeDocument/2006/customXml" ds:itemID="{52816DE8-7194-4598-B01A-7FFF011F62B4}">
  <ds:schemaRefs>
    <ds:schemaRef ds:uri="http://schemas.microsoft.com/sharepoint/v3/contenttype/forms"/>
  </ds:schemaRefs>
</ds:datastoreItem>
</file>

<file path=customXml/itemProps4.xml><?xml version="1.0" encoding="utf-8"?>
<ds:datastoreItem xmlns:ds="http://schemas.openxmlformats.org/officeDocument/2006/customXml" ds:itemID="{2EED997C-9832-4744-9E97-3ACD97736A65}">
  <ds:schemaRefs>
    <ds:schemaRef ds:uri="http://schemas.microsoft.com/office/2006/metadata/properties"/>
    <ds:schemaRef ds:uri="http://schemas.microsoft.com/office/infopath/2007/PartnerControls"/>
    <ds:schemaRef ds:uri="37af3ff4-80a8-418f-9a52-e4e06faffa3f"/>
  </ds:schemaRefs>
</ds:datastoreItem>
</file>

<file path=customXml/itemProps5.xml><?xml version="1.0" encoding="utf-8"?>
<ds:datastoreItem xmlns:ds="http://schemas.openxmlformats.org/officeDocument/2006/customXml" ds:itemID="{29D4D98F-11DB-4DAC-A557-21C90CDE226D}"/>
</file>

<file path=docProps/app.xml><?xml version="1.0" encoding="utf-8"?>
<Properties xmlns="http://schemas.openxmlformats.org/officeDocument/2006/extended-properties" xmlns:vt="http://schemas.openxmlformats.org/officeDocument/2006/docPropsVTypes">
  <Template>Normal</Template>
  <TotalTime>19</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71</cp:revision>
  <cp:lastPrinted>2024-06-04T09:15:00Z</cp:lastPrinted>
  <dcterms:created xsi:type="dcterms:W3CDTF">2024-08-30T15:18:00Z</dcterms:created>
  <dcterms:modified xsi:type="dcterms:W3CDTF">2024-08-30T23:31:00Z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a0bf5291-0ae9-4cc7-8b65-e62469d2594b</vt:lpwstr>
  </property>
  <property fmtid="{D5CDD505-2E9C-101B-9397-08002B2CF9AE}" pid="11" name="MediaServiceImageTags">
    <vt:lpwstr/>
  </property>
</Properties>
</file>